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5C12" w14:textId="77777777" w:rsidR="00B43CBB" w:rsidRDefault="00B43CBB" w:rsidP="00B43CBB">
      <w:pPr>
        <w:pBdr>
          <w:bottom w:val="single" w:sz="4" w:space="1" w:color="auto"/>
        </w:pBdr>
        <w:spacing w:line="240" w:lineRule="auto"/>
        <w:jc w:val="both"/>
        <w:rPr>
          <w:rFonts w:cs="Arial"/>
          <w:b/>
          <w:bCs/>
          <w:sz w:val="22"/>
          <w:szCs w:val="22"/>
          <w:lang w:eastAsia="sl-SI"/>
        </w:rPr>
      </w:pPr>
    </w:p>
    <w:p w14:paraId="72980300" w14:textId="77777777" w:rsidR="00B43CBB" w:rsidRDefault="00B43CBB" w:rsidP="00B43CBB">
      <w:pPr>
        <w:pBdr>
          <w:bottom w:val="single" w:sz="4" w:space="1" w:color="auto"/>
        </w:pBdr>
        <w:spacing w:line="240" w:lineRule="auto"/>
        <w:jc w:val="both"/>
        <w:rPr>
          <w:rFonts w:cs="Arial"/>
          <w:b/>
          <w:bCs/>
          <w:sz w:val="22"/>
          <w:szCs w:val="22"/>
          <w:lang w:eastAsia="sl-SI"/>
        </w:rPr>
      </w:pPr>
    </w:p>
    <w:p w14:paraId="665EE4DB" w14:textId="63A60198" w:rsidR="00F62491" w:rsidRPr="009979F7" w:rsidRDefault="00F62491" w:rsidP="00B43CBB">
      <w:pPr>
        <w:pBdr>
          <w:bottom w:val="single" w:sz="4" w:space="1" w:color="auto"/>
        </w:pBdr>
        <w:spacing w:line="240" w:lineRule="auto"/>
        <w:jc w:val="both"/>
        <w:rPr>
          <w:rFonts w:cs="Arial"/>
          <w:sz w:val="22"/>
          <w:szCs w:val="22"/>
          <w:lang w:eastAsia="sl-SI"/>
        </w:rPr>
      </w:pPr>
      <w:r w:rsidRPr="009979F7">
        <w:rPr>
          <w:rFonts w:cs="Arial"/>
          <w:b/>
          <w:bCs/>
          <w:sz w:val="22"/>
          <w:szCs w:val="22"/>
          <w:lang w:eastAsia="sl-SI"/>
        </w:rPr>
        <w:t xml:space="preserve">Dodatno vsebinsko pojasnilo - primeri </w:t>
      </w:r>
      <w:r w:rsidR="00B43CBB">
        <w:rPr>
          <w:rFonts w:cs="Arial"/>
          <w:b/>
          <w:bCs/>
          <w:sz w:val="22"/>
          <w:szCs w:val="22"/>
          <w:lang w:eastAsia="sl-SI"/>
        </w:rPr>
        <w:t xml:space="preserve">možnih projektov oziroma </w:t>
      </w:r>
      <w:r w:rsidRPr="009979F7">
        <w:rPr>
          <w:rFonts w:cs="Arial"/>
          <w:b/>
          <w:bCs/>
          <w:sz w:val="22"/>
          <w:szCs w:val="22"/>
          <w:lang w:eastAsia="sl-SI"/>
        </w:rPr>
        <w:t>scenarijev uporabe</w:t>
      </w:r>
    </w:p>
    <w:p w14:paraId="617E9F3E" w14:textId="77777777" w:rsidR="00F62491" w:rsidRDefault="00F62491" w:rsidP="00F62491">
      <w:pPr>
        <w:spacing w:line="240" w:lineRule="auto"/>
        <w:jc w:val="both"/>
        <w:rPr>
          <w:rFonts w:cs="Arial"/>
          <w:sz w:val="22"/>
          <w:szCs w:val="22"/>
          <w:lang w:eastAsia="sl-SI"/>
        </w:rPr>
      </w:pPr>
    </w:p>
    <w:p w14:paraId="51AFE6C3" w14:textId="77777777" w:rsidR="00F62491" w:rsidRPr="006A3A2F" w:rsidRDefault="00F62491" w:rsidP="00F62491">
      <w:pPr>
        <w:spacing w:line="240" w:lineRule="auto"/>
        <w:jc w:val="both"/>
        <w:rPr>
          <w:rFonts w:cs="Arial"/>
          <w:sz w:val="22"/>
          <w:szCs w:val="22"/>
          <w:lang w:eastAsia="sl-SI"/>
        </w:rPr>
      </w:pPr>
      <w:r>
        <w:rPr>
          <w:rFonts w:cs="Arial"/>
          <w:sz w:val="22"/>
          <w:szCs w:val="22"/>
          <w:lang w:eastAsia="sl-SI"/>
        </w:rPr>
        <w:t>O</w:t>
      </w:r>
      <w:r w:rsidRPr="006A3A2F">
        <w:rPr>
          <w:rFonts w:cs="Arial"/>
          <w:sz w:val="22"/>
          <w:szCs w:val="22"/>
          <w:lang w:eastAsia="sl-SI"/>
        </w:rPr>
        <w:t xml:space="preserve">pisi scenarijev uporabe ne predstavljajo fiksnega ali izčrpnega seznama </w:t>
      </w:r>
      <w:r>
        <w:rPr>
          <w:rFonts w:cs="Arial"/>
          <w:sz w:val="22"/>
          <w:szCs w:val="22"/>
          <w:lang w:eastAsia="sl-SI"/>
        </w:rPr>
        <w:t>možnih</w:t>
      </w:r>
      <w:r w:rsidRPr="006A3A2F">
        <w:rPr>
          <w:rFonts w:cs="Arial"/>
          <w:sz w:val="22"/>
          <w:szCs w:val="22"/>
          <w:lang w:eastAsia="sl-SI"/>
        </w:rPr>
        <w:t xml:space="preserve"> projektov v IPCEI</w:t>
      </w:r>
      <w:r>
        <w:rPr>
          <w:rFonts w:cs="Arial"/>
          <w:sz w:val="22"/>
          <w:szCs w:val="22"/>
          <w:lang w:eastAsia="sl-SI"/>
        </w:rPr>
        <w:t xml:space="preserve"> CIC</w:t>
      </w:r>
      <w:r w:rsidRPr="006A3A2F">
        <w:rPr>
          <w:rFonts w:cs="Arial"/>
          <w:sz w:val="22"/>
          <w:szCs w:val="22"/>
          <w:lang w:eastAsia="sl-SI"/>
        </w:rPr>
        <w:t xml:space="preserve">. Služijo kot ilustrativni primeri področij, ki bi jih lahko </w:t>
      </w:r>
      <w:r>
        <w:rPr>
          <w:rFonts w:cs="Arial"/>
          <w:sz w:val="22"/>
          <w:szCs w:val="22"/>
          <w:lang w:eastAsia="sl-SI"/>
        </w:rPr>
        <w:t>zajemali</w:t>
      </w:r>
      <w:r w:rsidRPr="006A3A2F">
        <w:rPr>
          <w:rFonts w:cs="Arial"/>
          <w:sz w:val="22"/>
          <w:szCs w:val="22"/>
          <w:lang w:eastAsia="sl-SI"/>
        </w:rPr>
        <w:t xml:space="preserve"> projektni predlogi.</w:t>
      </w:r>
    </w:p>
    <w:p w14:paraId="6434AD7D" w14:textId="77777777" w:rsidR="00F62491" w:rsidRDefault="00F62491" w:rsidP="00F62491">
      <w:pPr>
        <w:spacing w:line="240" w:lineRule="auto"/>
        <w:jc w:val="both"/>
        <w:rPr>
          <w:rFonts w:cs="Arial"/>
          <w:b/>
          <w:bCs/>
          <w:sz w:val="22"/>
          <w:szCs w:val="22"/>
          <w:lang w:eastAsia="sl-SI"/>
        </w:rPr>
      </w:pPr>
    </w:p>
    <w:p w14:paraId="53F08EC4" w14:textId="77777777" w:rsidR="00F62491" w:rsidRPr="004D1D1E" w:rsidRDefault="00F62491" w:rsidP="00F62491">
      <w:pPr>
        <w:spacing w:line="240" w:lineRule="auto"/>
        <w:jc w:val="both"/>
        <w:rPr>
          <w:rFonts w:cs="Arial"/>
          <w:b/>
          <w:bCs/>
          <w:sz w:val="22"/>
          <w:szCs w:val="22"/>
          <w:lang w:eastAsia="sl-SI"/>
        </w:rPr>
      </w:pPr>
      <w:r w:rsidRPr="005F474C">
        <w:rPr>
          <w:rFonts w:cs="Arial"/>
          <w:b/>
          <w:bCs/>
          <w:sz w:val="22"/>
          <w:szCs w:val="22"/>
          <w:lang w:eastAsia="sl-SI"/>
        </w:rPr>
        <w:t>Primer scenarija uporabe št. 1</w:t>
      </w:r>
      <w:r w:rsidRPr="005F474C">
        <w:rPr>
          <w:rFonts w:cs="Arial"/>
          <w:sz w:val="22"/>
          <w:szCs w:val="22"/>
          <w:lang w:eastAsia="sl-SI"/>
        </w:rPr>
        <w:t xml:space="preserve">: </w:t>
      </w:r>
      <w:r w:rsidRPr="004D1D1E">
        <w:rPr>
          <w:rFonts w:cs="Arial"/>
          <w:b/>
          <w:bCs/>
          <w:sz w:val="22"/>
          <w:szCs w:val="22"/>
          <w:lang w:eastAsia="sl-SI"/>
        </w:rPr>
        <w:t>Infrastruktura v bližini</w:t>
      </w:r>
      <w:r>
        <w:rPr>
          <w:rFonts w:cs="Arial"/>
          <w:b/>
          <w:bCs/>
          <w:sz w:val="22"/>
          <w:szCs w:val="22"/>
          <w:lang w:eastAsia="sl-SI"/>
        </w:rPr>
        <w:t xml:space="preserve"> </w:t>
      </w:r>
      <w:r w:rsidRPr="004D1D1E">
        <w:rPr>
          <w:rFonts w:cs="Arial"/>
          <w:b/>
          <w:bCs/>
          <w:sz w:val="22"/>
          <w:szCs w:val="22"/>
          <w:lang w:eastAsia="sl-SI"/>
        </w:rPr>
        <w:t>(</w:t>
      </w:r>
      <w:proofErr w:type="spellStart"/>
      <w:r w:rsidRPr="004D1D1E">
        <w:rPr>
          <w:rFonts w:cs="Arial"/>
          <w:b/>
          <w:bCs/>
          <w:sz w:val="22"/>
          <w:szCs w:val="22"/>
          <w:lang w:eastAsia="sl-SI"/>
        </w:rPr>
        <w:t>near-premises</w:t>
      </w:r>
      <w:proofErr w:type="spellEnd"/>
      <w:r w:rsidRPr="004D1D1E">
        <w:rPr>
          <w:rFonts w:cs="Arial"/>
          <w:b/>
          <w:bCs/>
          <w:sz w:val="22"/>
          <w:szCs w:val="22"/>
          <w:lang w:eastAsia="sl-SI"/>
        </w:rPr>
        <w:t>), ki jo upravlja ponudnik telekomunikacijskih robov</w:t>
      </w:r>
    </w:p>
    <w:p w14:paraId="4EA1E6CB" w14:textId="77777777" w:rsidR="00F62491" w:rsidRDefault="00F62491" w:rsidP="00F62491">
      <w:pPr>
        <w:spacing w:line="240" w:lineRule="auto"/>
        <w:jc w:val="both"/>
        <w:rPr>
          <w:rFonts w:cs="Arial"/>
          <w:sz w:val="22"/>
          <w:szCs w:val="22"/>
          <w:lang w:eastAsia="sl-SI"/>
        </w:rPr>
      </w:pPr>
    </w:p>
    <w:p w14:paraId="341FE1AC" w14:textId="77777777" w:rsidR="00F62491" w:rsidRDefault="00F62491" w:rsidP="00F62491">
      <w:pPr>
        <w:spacing w:line="240" w:lineRule="auto"/>
        <w:jc w:val="both"/>
        <w:rPr>
          <w:rFonts w:cs="Arial"/>
          <w:sz w:val="22"/>
          <w:szCs w:val="22"/>
          <w:lang w:eastAsia="sl-SI"/>
        </w:rPr>
      </w:pPr>
      <w:r w:rsidRPr="005F474C">
        <w:rPr>
          <w:rFonts w:cs="Arial"/>
          <w:sz w:val="22"/>
          <w:szCs w:val="22"/>
          <w:lang w:eastAsia="sl-SI"/>
        </w:rPr>
        <w:t xml:space="preserve">Infrastruktura </w:t>
      </w:r>
      <w:r>
        <w:rPr>
          <w:rFonts w:cs="Arial"/>
          <w:sz w:val="22"/>
          <w:szCs w:val="22"/>
          <w:lang w:eastAsia="sl-SI"/>
        </w:rPr>
        <w:t>»</w:t>
      </w:r>
      <w:r w:rsidRPr="005F474C">
        <w:rPr>
          <w:rFonts w:cs="Arial"/>
          <w:sz w:val="22"/>
          <w:szCs w:val="22"/>
          <w:lang w:eastAsia="sl-SI"/>
        </w:rPr>
        <w:t>v bližini</w:t>
      </w:r>
      <w:r>
        <w:rPr>
          <w:rFonts w:cs="Arial"/>
          <w:sz w:val="22"/>
          <w:szCs w:val="22"/>
          <w:lang w:eastAsia="sl-SI"/>
        </w:rPr>
        <w:t>« (</w:t>
      </w:r>
      <w:proofErr w:type="spellStart"/>
      <w:r>
        <w:rPr>
          <w:rFonts w:cs="Arial"/>
          <w:sz w:val="22"/>
          <w:szCs w:val="22"/>
          <w:lang w:eastAsia="sl-SI"/>
        </w:rPr>
        <w:t>near-premises</w:t>
      </w:r>
      <w:proofErr w:type="spellEnd"/>
      <w:r>
        <w:rPr>
          <w:rFonts w:cs="Arial"/>
          <w:sz w:val="22"/>
          <w:szCs w:val="22"/>
          <w:lang w:eastAsia="sl-SI"/>
        </w:rPr>
        <w:t>)</w:t>
      </w:r>
      <w:r w:rsidRPr="005F474C">
        <w:rPr>
          <w:rFonts w:cs="Arial"/>
          <w:sz w:val="22"/>
          <w:szCs w:val="22"/>
          <w:lang w:eastAsia="sl-SI"/>
        </w:rPr>
        <w:t>, kot so vozlišča telekomunikacijskih robov, so porazdeljena računalniška vozlišča, ki so neposredno integrirana v omrežje telekomunikacijskih operaterjev, zagotavljajo računalniško zmogljivost za aplikacije tretjih oseb in omogočajo izjemno nizk</w:t>
      </w:r>
      <w:r>
        <w:rPr>
          <w:rFonts w:cs="Arial"/>
          <w:sz w:val="22"/>
          <w:szCs w:val="22"/>
          <w:lang w:eastAsia="sl-SI"/>
        </w:rPr>
        <w:t>o</w:t>
      </w:r>
      <w:r w:rsidRPr="005F474C">
        <w:rPr>
          <w:rFonts w:cs="Arial"/>
          <w:sz w:val="22"/>
          <w:szCs w:val="22"/>
          <w:lang w:eastAsia="sl-SI"/>
        </w:rPr>
        <w:t xml:space="preserve"> latenc</w:t>
      </w:r>
      <w:r>
        <w:rPr>
          <w:rFonts w:cs="Arial"/>
          <w:sz w:val="22"/>
          <w:szCs w:val="22"/>
          <w:lang w:eastAsia="sl-SI"/>
        </w:rPr>
        <w:t>o</w:t>
      </w:r>
      <w:r w:rsidRPr="005F474C">
        <w:rPr>
          <w:rFonts w:cs="Arial"/>
          <w:sz w:val="22"/>
          <w:szCs w:val="22"/>
          <w:lang w:eastAsia="sl-SI"/>
        </w:rPr>
        <w:t xml:space="preserve"> za op</w:t>
      </w:r>
      <w:r>
        <w:rPr>
          <w:rFonts w:cs="Arial"/>
          <w:sz w:val="22"/>
          <w:szCs w:val="22"/>
          <w:lang w:eastAsia="sl-SI"/>
        </w:rPr>
        <w:t>timizacijo povezljivosti</w:t>
      </w:r>
      <w:r w:rsidRPr="005F474C">
        <w:rPr>
          <w:rFonts w:cs="Arial"/>
          <w:sz w:val="22"/>
          <w:szCs w:val="22"/>
          <w:lang w:eastAsia="sl-SI"/>
        </w:rPr>
        <w:t xml:space="preserve">, ki zagotavlja neposredno povezavo z generatorjem podatkov-potrošnikom in uporabnikom prek mobilnih omrežij ponudnika, kar omogoča naprave in storitve s SIM-kartico s 5G in robom. </w:t>
      </w:r>
    </w:p>
    <w:p w14:paraId="46215ADA" w14:textId="77777777" w:rsidR="00F62491" w:rsidRDefault="00F62491" w:rsidP="00F62491">
      <w:pPr>
        <w:spacing w:line="240" w:lineRule="auto"/>
        <w:jc w:val="both"/>
        <w:rPr>
          <w:rFonts w:cs="Arial"/>
          <w:sz w:val="22"/>
          <w:szCs w:val="22"/>
          <w:lang w:eastAsia="sl-SI"/>
        </w:rPr>
      </w:pPr>
    </w:p>
    <w:p w14:paraId="08A72F18" w14:textId="77777777" w:rsidR="00F62491" w:rsidRPr="005F474C" w:rsidRDefault="00F62491" w:rsidP="00F62491">
      <w:pPr>
        <w:spacing w:line="240" w:lineRule="auto"/>
        <w:jc w:val="both"/>
        <w:rPr>
          <w:rFonts w:cs="Arial"/>
          <w:sz w:val="22"/>
          <w:szCs w:val="22"/>
          <w:lang w:eastAsia="sl-SI"/>
        </w:rPr>
      </w:pPr>
      <w:r w:rsidRPr="005F474C">
        <w:rPr>
          <w:rFonts w:cs="Arial"/>
          <w:sz w:val="22"/>
          <w:szCs w:val="22"/>
          <w:lang w:eastAsia="sl-SI"/>
        </w:rPr>
        <w:t>To bi lahko omogočilo nove primere uporabe z zahtevami za:</w:t>
      </w:r>
    </w:p>
    <w:p w14:paraId="10C673A7" w14:textId="77777777" w:rsidR="00F62491" w:rsidRPr="004D1D1E" w:rsidRDefault="00F62491" w:rsidP="00F62491">
      <w:pPr>
        <w:pStyle w:val="Odstavekseznama"/>
        <w:numPr>
          <w:ilvl w:val="0"/>
          <w:numId w:val="15"/>
        </w:numPr>
        <w:spacing w:line="240" w:lineRule="auto"/>
        <w:jc w:val="both"/>
        <w:rPr>
          <w:rFonts w:cs="Arial"/>
          <w:sz w:val="22"/>
          <w:szCs w:val="22"/>
          <w:lang w:eastAsia="sl-SI"/>
        </w:rPr>
      </w:pPr>
      <w:r w:rsidRPr="004D1D1E">
        <w:rPr>
          <w:rFonts w:cs="Arial"/>
          <w:sz w:val="22"/>
          <w:szCs w:val="22"/>
          <w:lang w:eastAsia="sl-SI"/>
        </w:rPr>
        <w:t xml:space="preserve">Nizko latenco </w:t>
      </w:r>
    </w:p>
    <w:p w14:paraId="284F8F88" w14:textId="77777777" w:rsidR="00F62491" w:rsidRPr="004D1D1E" w:rsidRDefault="00F62491" w:rsidP="00F62491">
      <w:pPr>
        <w:pStyle w:val="Odstavekseznama"/>
        <w:numPr>
          <w:ilvl w:val="0"/>
          <w:numId w:val="15"/>
        </w:numPr>
        <w:spacing w:line="240" w:lineRule="auto"/>
        <w:jc w:val="both"/>
        <w:rPr>
          <w:rFonts w:cs="Arial"/>
          <w:sz w:val="22"/>
          <w:szCs w:val="22"/>
          <w:lang w:eastAsia="sl-SI"/>
        </w:rPr>
      </w:pPr>
      <w:r w:rsidRPr="004D1D1E">
        <w:rPr>
          <w:rFonts w:cs="Arial"/>
          <w:sz w:val="22"/>
          <w:szCs w:val="22"/>
          <w:lang w:eastAsia="sl-SI"/>
        </w:rPr>
        <w:t>Zanesljivost povezljivosti</w:t>
      </w:r>
    </w:p>
    <w:p w14:paraId="0F422149" w14:textId="77777777" w:rsidR="00F62491" w:rsidRPr="004D1D1E" w:rsidRDefault="00F62491" w:rsidP="00F62491">
      <w:pPr>
        <w:pStyle w:val="Odstavekseznama"/>
        <w:numPr>
          <w:ilvl w:val="0"/>
          <w:numId w:val="15"/>
        </w:numPr>
        <w:spacing w:line="240" w:lineRule="auto"/>
        <w:jc w:val="both"/>
        <w:rPr>
          <w:rFonts w:cs="Arial"/>
          <w:sz w:val="22"/>
          <w:szCs w:val="22"/>
          <w:lang w:eastAsia="sl-SI"/>
        </w:rPr>
      </w:pPr>
      <w:r w:rsidRPr="004D1D1E">
        <w:rPr>
          <w:rFonts w:cs="Arial"/>
          <w:sz w:val="22"/>
          <w:szCs w:val="22"/>
          <w:lang w:eastAsia="sl-SI"/>
        </w:rPr>
        <w:t>Varnost, zasebnost podatkov in suverenost podatkov, ki se prenašajo iz lokacije v bližini, potencialno z namenskim usmerjanjem/rezinami</w:t>
      </w:r>
    </w:p>
    <w:p w14:paraId="7703AEEE" w14:textId="77777777" w:rsidR="00F62491" w:rsidRDefault="00F62491" w:rsidP="00F62491">
      <w:pPr>
        <w:spacing w:line="240" w:lineRule="auto"/>
        <w:jc w:val="both"/>
        <w:rPr>
          <w:rFonts w:cs="Arial"/>
          <w:sz w:val="22"/>
          <w:szCs w:val="22"/>
          <w:lang w:eastAsia="sl-SI"/>
        </w:rPr>
      </w:pPr>
    </w:p>
    <w:p w14:paraId="635AD041" w14:textId="77777777" w:rsidR="00F62491" w:rsidRDefault="00F62491" w:rsidP="00F62491">
      <w:pPr>
        <w:spacing w:line="240" w:lineRule="auto"/>
        <w:jc w:val="both"/>
        <w:rPr>
          <w:rFonts w:cs="Arial"/>
          <w:sz w:val="22"/>
          <w:szCs w:val="22"/>
          <w:lang w:eastAsia="sl-SI"/>
        </w:rPr>
      </w:pPr>
      <w:r w:rsidRPr="004D1D1E">
        <w:rPr>
          <w:rFonts w:cs="Arial"/>
          <w:sz w:val="22"/>
          <w:szCs w:val="22"/>
          <w:lang w:eastAsia="sl-SI"/>
        </w:rPr>
        <w:t>Infrastrukture v bližini prostorov (</w:t>
      </w:r>
      <w:proofErr w:type="spellStart"/>
      <w:r w:rsidRPr="004D1D1E">
        <w:rPr>
          <w:rFonts w:cs="Arial"/>
          <w:sz w:val="22"/>
          <w:szCs w:val="22"/>
          <w:lang w:eastAsia="sl-SI"/>
        </w:rPr>
        <w:t>near-premises</w:t>
      </w:r>
      <w:proofErr w:type="spellEnd"/>
      <w:r w:rsidRPr="004D1D1E">
        <w:rPr>
          <w:rFonts w:cs="Arial"/>
          <w:sz w:val="22"/>
          <w:szCs w:val="22"/>
          <w:lang w:eastAsia="sl-SI"/>
        </w:rPr>
        <w:t>)</w:t>
      </w:r>
      <w:r>
        <w:rPr>
          <w:rFonts w:cs="Arial"/>
          <w:sz w:val="22"/>
          <w:szCs w:val="22"/>
          <w:lang w:eastAsia="sl-SI"/>
        </w:rPr>
        <w:t xml:space="preserve"> </w:t>
      </w:r>
      <w:r w:rsidRPr="004D1D1E">
        <w:rPr>
          <w:rFonts w:cs="Arial"/>
          <w:sz w:val="22"/>
          <w:szCs w:val="22"/>
          <w:lang w:eastAsia="sl-SI"/>
        </w:rPr>
        <w:t xml:space="preserve">omogočajo nove storitve, ki združujejo omrežne storitve z porazdeljeno računalniško zmogljivostjo blizu generatorja podatkov in potrošnikov: (1) optimizirano usmerjanje prometa, izbira najboljše poti in najbližje robne lokacije za vsakega uporabnika za zmanjšanje zakasnitve, tveganj za zasebnost podatkov (zaradi zmanjšanega pretoka podatkov) in omrežnega prometa; (2) prilagojene poti podatkovnega prometa, </w:t>
      </w:r>
      <w:r>
        <w:rPr>
          <w:rFonts w:cs="Arial"/>
          <w:sz w:val="22"/>
          <w:szCs w:val="22"/>
          <w:lang w:eastAsia="sl-SI"/>
        </w:rPr>
        <w:t xml:space="preserve">na način, </w:t>
      </w:r>
      <w:r w:rsidRPr="004D1D1E">
        <w:rPr>
          <w:rFonts w:cs="Arial"/>
          <w:sz w:val="22"/>
          <w:szCs w:val="22"/>
          <w:lang w:eastAsia="sl-SI"/>
        </w:rPr>
        <w:t>da se zagotovi, da podatki potujejo le skozi dovoljena območja in omrežja; (3) kakovost storitve omrežja (</w:t>
      </w:r>
      <w:proofErr w:type="spellStart"/>
      <w:r w:rsidRPr="004D1D1E">
        <w:rPr>
          <w:rFonts w:cs="Arial"/>
          <w:sz w:val="22"/>
          <w:szCs w:val="22"/>
          <w:lang w:eastAsia="sl-SI"/>
        </w:rPr>
        <w:t>QoS</w:t>
      </w:r>
      <w:proofErr w:type="spellEnd"/>
      <w:r w:rsidRPr="004D1D1E">
        <w:rPr>
          <w:rFonts w:cs="Arial"/>
          <w:sz w:val="22"/>
          <w:szCs w:val="22"/>
          <w:lang w:eastAsia="sl-SI"/>
        </w:rPr>
        <w:t>) na zahtevo</w:t>
      </w:r>
      <w:r>
        <w:rPr>
          <w:rFonts w:cs="Arial"/>
          <w:sz w:val="22"/>
          <w:szCs w:val="22"/>
          <w:lang w:eastAsia="sl-SI"/>
        </w:rPr>
        <w:t xml:space="preserve"> (on </w:t>
      </w:r>
      <w:proofErr w:type="spellStart"/>
      <w:r>
        <w:rPr>
          <w:rFonts w:cs="Arial"/>
          <w:sz w:val="22"/>
          <w:szCs w:val="22"/>
          <w:lang w:eastAsia="sl-SI"/>
        </w:rPr>
        <w:t>demand</w:t>
      </w:r>
      <w:proofErr w:type="spellEnd"/>
      <w:r>
        <w:rPr>
          <w:rFonts w:cs="Arial"/>
          <w:sz w:val="22"/>
          <w:szCs w:val="22"/>
          <w:lang w:eastAsia="sl-SI"/>
        </w:rPr>
        <w:t>)</w:t>
      </w:r>
      <w:r w:rsidRPr="004D1D1E">
        <w:rPr>
          <w:rFonts w:cs="Arial"/>
          <w:sz w:val="22"/>
          <w:szCs w:val="22"/>
          <w:lang w:eastAsia="sl-SI"/>
        </w:rPr>
        <w:t xml:space="preserve">; (4) izboljšana mobilnost za uporabnike zaradi porazdeljene prisotnosti telekomunikacijskih robnih vozlišč in povezljivosti. </w:t>
      </w:r>
    </w:p>
    <w:p w14:paraId="2DF427C1" w14:textId="77777777" w:rsidR="00F62491" w:rsidRDefault="00F62491" w:rsidP="00F62491">
      <w:pPr>
        <w:spacing w:line="240" w:lineRule="auto"/>
        <w:jc w:val="both"/>
        <w:rPr>
          <w:rFonts w:cs="Arial"/>
          <w:sz w:val="22"/>
          <w:szCs w:val="22"/>
          <w:lang w:eastAsia="sl-SI"/>
        </w:rPr>
      </w:pPr>
    </w:p>
    <w:p w14:paraId="0AA5DE4C" w14:textId="77777777" w:rsidR="00F62491" w:rsidRDefault="00F62491" w:rsidP="00F62491">
      <w:pPr>
        <w:spacing w:line="240" w:lineRule="auto"/>
        <w:jc w:val="both"/>
        <w:rPr>
          <w:rFonts w:cs="Arial"/>
          <w:b/>
          <w:bCs/>
          <w:sz w:val="22"/>
          <w:szCs w:val="22"/>
          <w:lang w:eastAsia="sl-SI"/>
        </w:rPr>
      </w:pPr>
      <w:r w:rsidRPr="004D1D1E">
        <w:rPr>
          <w:rFonts w:cs="Arial"/>
          <w:sz w:val="22"/>
          <w:szCs w:val="22"/>
          <w:lang w:eastAsia="sl-SI"/>
        </w:rPr>
        <w:t xml:space="preserve">Infrastrukturne zmogljivosti za bližnje prostore, kot je </w:t>
      </w:r>
      <w:proofErr w:type="spellStart"/>
      <w:r w:rsidRPr="004D1D1E">
        <w:rPr>
          <w:rFonts w:cs="Arial"/>
          <w:sz w:val="22"/>
          <w:szCs w:val="22"/>
          <w:lang w:eastAsia="sl-SI"/>
        </w:rPr>
        <w:t>Telco-Edge</w:t>
      </w:r>
      <w:proofErr w:type="spellEnd"/>
      <w:r w:rsidRPr="004D1D1E">
        <w:rPr>
          <w:rFonts w:cs="Arial"/>
          <w:sz w:val="22"/>
          <w:szCs w:val="22"/>
          <w:lang w:eastAsia="sl-SI"/>
        </w:rPr>
        <w:t>, imajo to konfiguracijo</w:t>
      </w:r>
      <w:r w:rsidRPr="004D1D1E">
        <w:rPr>
          <w:rFonts w:cs="Arial"/>
          <w:b/>
          <w:bCs/>
          <w:sz w:val="22"/>
          <w:szCs w:val="22"/>
          <w:lang w:eastAsia="sl-SI"/>
        </w:rPr>
        <w:t>:</w:t>
      </w:r>
    </w:p>
    <w:p w14:paraId="184DD284" w14:textId="77777777" w:rsidR="00F62491" w:rsidRPr="006C30F6" w:rsidRDefault="00F62491" w:rsidP="00F62491">
      <w:pPr>
        <w:pStyle w:val="Odstavekseznama"/>
        <w:numPr>
          <w:ilvl w:val="1"/>
          <w:numId w:val="8"/>
        </w:numPr>
        <w:spacing w:line="240" w:lineRule="auto"/>
        <w:ind w:left="567"/>
        <w:jc w:val="both"/>
        <w:rPr>
          <w:rFonts w:cs="Arial"/>
          <w:sz w:val="22"/>
          <w:szCs w:val="22"/>
          <w:lang w:eastAsia="sl-SI"/>
        </w:rPr>
      </w:pPr>
      <w:r w:rsidRPr="006C30F6">
        <w:rPr>
          <w:rFonts w:cs="Arial"/>
          <w:sz w:val="22"/>
          <w:szCs w:val="22"/>
          <w:lang w:eastAsia="sl-SI"/>
        </w:rPr>
        <w:t>Računalniški strežniki s pospeševalniki umetne inteligence, vključno z grafičnimi procesorji za obdelavo delovnih obremenitev umetne inteligence,</w:t>
      </w:r>
    </w:p>
    <w:p w14:paraId="7C91E1AC" w14:textId="77777777" w:rsidR="00F62491" w:rsidRPr="006C30F6" w:rsidRDefault="00F62491" w:rsidP="00F62491">
      <w:pPr>
        <w:pStyle w:val="Odstavekseznama"/>
        <w:numPr>
          <w:ilvl w:val="1"/>
          <w:numId w:val="8"/>
        </w:numPr>
        <w:spacing w:line="240" w:lineRule="auto"/>
        <w:ind w:left="567"/>
        <w:jc w:val="both"/>
        <w:rPr>
          <w:rFonts w:cs="Arial"/>
          <w:sz w:val="22"/>
          <w:szCs w:val="22"/>
          <w:lang w:eastAsia="sl-SI"/>
        </w:rPr>
      </w:pPr>
      <w:r w:rsidRPr="006C30F6">
        <w:rPr>
          <w:rFonts w:cs="Arial"/>
          <w:sz w:val="22"/>
          <w:szCs w:val="22"/>
          <w:lang w:eastAsia="sl-SI"/>
        </w:rPr>
        <w:t>Omrežna integracija med različnimi ponudniki omrežij, da se lahko doseže več vozlišč v različnih državah prek mobilnih omrežij (5G, optično omrežje) vsakega operaterja</w:t>
      </w:r>
    </w:p>
    <w:p w14:paraId="038B8DE2" w14:textId="77777777" w:rsidR="00F62491" w:rsidRPr="006C30F6" w:rsidRDefault="00F62491" w:rsidP="00F62491">
      <w:pPr>
        <w:pStyle w:val="Odstavekseznama"/>
        <w:numPr>
          <w:ilvl w:val="1"/>
          <w:numId w:val="8"/>
        </w:numPr>
        <w:spacing w:line="240" w:lineRule="auto"/>
        <w:ind w:left="567"/>
        <w:jc w:val="both"/>
        <w:rPr>
          <w:rFonts w:cs="Arial"/>
          <w:sz w:val="22"/>
          <w:szCs w:val="22"/>
          <w:lang w:eastAsia="sl-SI"/>
        </w:rPr>
      </w:pPr>
      <w:r w:rsidRPr="006C30F6">
        <w:rPr>
          <w:rFonts w:cs="Arial"/>
          <w:sz w:val="22"/>
          <w:szCs w:val="22"/>
          <w:lang w:eastAsia="sl-SI"/>
        </w:rPr>
        <w:t>Omrežne komponente, ki so nameščene skupaj z računalniškimi strežniki, kot so UPF-ji, varnostni prehodi</w:t>
      </w:r>
    </w:p>
    <w:p w14:paraId="1BCEB719" w14:textId="77777777" w:rsidR="00F62491" w:rsidRPr="006C30F6" w:rsidRDefault="00F62491" w:rsidP="00F62491">
      <w:pPr>
        <w:pStyle w:val="Odstavekseznama"/>
        <w:numPr>
          <w:ilvl w:val="1"/>
          <w:numId w:val="8"/>
        </w:numPr>
        <w:spacing w:line="240" w:lineRule="auto"/>
        <w:ind w:left="567"/>
        <w:jc w:val="both"/>
        <w:rPr>
          <w:rFonts w:cs="Arial"/>
          <w:sz w:val="22"/>
          <w:szCs w:val="22"/>
          <w:lang w:eastAsia="sl-SI"/>
        </w:rPr>
      </w:pPr>
      <w:r w:rsidRPr="006C30F6">
        <w:rPr>
          <w:rFonts w:cs="Arial"/>
          <w:sz w:val="22"/>
          <w:szCs w:val="22"/>
          <w:lang w:eastAsia="sl-SI"/>
        </w:rPr>
        <w:t>Podatkovni centri z ustrezno varnostjo, hlajenjem, razpoložljivostjo napajanja, visoko pasovno širino in visoko razpoložljivo povezljivostjo.</w:t>
      </w:r>
    </w:p>
    <w:p w14:paraId="6453030F" w14:textId="77777777" w:rsidR="00F62491" w:rsidRPr="006C30F6" w:rsidRDefault="00F62491" w:rsidP="00F62491">
      <w:pPr>
        <w:pStyle w:val="Odstavekseznama"/>
        <w:numPr>
          <w:ilvl w:val="1"/>
          <w:numId w:val="8"/>
        </w:numPr>
        <w:spacing w:line="240" w:lineRule="auto"/>
        <w:ind w:left="567"/>
        <w:jc w:val="both"/>
        <w:rPr>
          <w:rFonts w:cs="Arial"/>
          <w:sz w:val="22"/>
          <w:szCs w:val="22"/>
          <w:lang w:eastAsia="sl-SI"/>
        </w:rPr>
      </w:pPr>
      <w:r w:rsidRPr="006C30F6">
        <w:rPr>
          <w:rFonts w:cs="Arial"/>
          <w:sz w:val="22"/>
          <w:szCs w:val="22"/>
          <w:lang w:eastAsia="sl-SI"/>
        </w:rPr>
        <w:t>Pomembno je upoštevati tudi programsko opremo, potrebno za orkestracijo infrastrukture, vključno z upravljanjem celotnega življenjskega cikla robnih aplikacij, konfiguriranjem in optimizacijo omrežnih poti itd.</w:t>
      </w:r>
    </w:p>
    <w:p w14:paraId="5FA95381" w14:textId="77777777" w:rsidR="00F62491" w:rsidRDefault="00F62491" w:rsidP="00F62491">
      <w:pPr>
        <w:spacing w:line="240" w:lineRule="auto"/>
        <w:jc w:val="both"/>
        <w:rPr>
          <w:rFonts w:cs="Arial"/>
          <w:sz w:val="22"/>
          <w:szCs w:val="22"/>
          <w:lang w:eastAsia="sl-SI"/>
        </w:rPr>
      </w:pPr>
    </w:p>
    <w:p w14:paraId="7DF55BC5" w14:textId="77777777" w:rsidR="00F62491" w:rsidRPr="006C30F6" w:rsidRDefault="00F62491" w:rsidP="00F62491">
      <w:pPr>
        <w:spacing w:line="240" w:lineRule="auto"/>
        <w:jc w:val="both"/>
        <w:rPr>
          <w:rFonts w:cs="Arial"/>
          <w:b/>
          <w:bCs/>
          <w:sz w:val="22"/>
          <w:szCs w:val="22"/>
          <w:lang w:eastAsia="sl-SI"/>
        </w:rPr>
      </w:pPr>
      <w:r w:rsidRPr="006C30F6">
        <w:rPr>
          <w:rFonts w:cs="Arial"/>
          <w:b/>
          <w:bCs/>
          <w:sz w:val="22"/>
          <w:szCs w:val="22"/>
          <w:lang w:eastAsia="sl-SI"/>
        </w:rPr>
        <w:t xml:space="preserve">Primer scenarija uporabe št. 2: Sateliti za tovarne umetne inteligence ali </w:t>
      </w:r>
      <w:proofErr w:type="spellStart"/>
      <w:r w:rsidRPr="006C30F6">
        <w:rPr>
          <w:rFonts w:cs="Arial"/>
          <w:b/>
          <w:bCs/>
          <w:sz w:val="22"/>
          <w:szCs w:val="22"/>
          <w:lang w:eastAsia="sl-SI"/>
        </w:rPr>
        <w:t>gigatovarne</w:t>
      </w:r>
      <w:proofErr w:type="spellEnd"/>
      <w:r w:rsidRPr="006C30F6">
        <w:rPr>
          <w:rFonts w:cs="Arial"/>
          <w:b/>
          <w:bCs/>
          <w:sz w:val="22"/>
          <w:szCs w:val="22"/>
          <w:lang w:eastAsia="sl-SI"/>
        </w:rPr>
        <w:t xml:space="preserve"> umetne inteligence</w:t>
      </w:r>
    </w:p>
    <w:p w14:paraId="48CE8196" w14:textId="77777777" w:rsidR="00F62491" w:rsidRDefault="00F62491" w:rsidP="00F62491">
      <w:pPr>
        <w:spacing w:line="240" w:lineRule="auto"/>
        <w:jc w:val="both"/>
        <w:rPr>
          <w:rFonts w:cs="Arial"/>
          <w:sz w:val="22"/>
          <w:szCs w:val="22"/>
          <w:lang w:eastAsia="sl-SI"/>
        </w:rPr>
      </w:pPr>
    </w:p>
    <w:p w14:paraId="354E3C6C" w14:textId="77777777" w:rsidR="00F62491" w:rsidRDefault="00F62491" w:rsidP="00F62491">
      <w:pPr>
        <w:spacing w:line="240" w:lineRule="auto"/>
        <w:jc w:val="both"/>
        <w:rPr>
          <w:rFonts w:cs="Arial"/>
          <w:sz w:val="22"/>
          <w:szCs w:val="22"/>
          <w:lang w:eastAsia="sl-SI"/>
        </w:rPr>
      </w:pPr>
      <w:r w:rsidRPr="006C30F6">
        <w:rPr>
          <w:rFonts w:cs="Arial"/>
          <w:sz w:val="22"/>
          <w:szCs w:val="22"/>
          <w:lang w:eastAsia="sl-SI"/>
        </w:rPr>
        <w:t xml:space="preserve">Sateliti za umetno inteligenco so porazdeljene </w:t>
      </w:r>
      <w:r>
        <w:rPr>
          <w:rFonts w:cs="Arial"/>
          <w:sz w:val="22"/>
          <w:szCs w:val="22"/>
          <w:lang w:eastAsia="sl-SI"/>
        </w:rPr>
        <w:t xml:space="preserve">(distribuirane) </w:t>
      </w:r>
      <w:r w:rsidRPr="006C30F6">
        <w:rPr>
          <w:rFonts w:cs="Arial"/>
          <w:sz w:val="22"/>
          <w:szCs w:val="22"/>
          <w:lang w:eastAsia="sl-SI"/>
        </w:rPr>
        <w:t xml:space="preserve">infrastrukture v oblaku, ki dopolnjujejo velike, centralizirane podatkovne centre s ponujanjem storitev </w:t>
      </w:r>
      <w:r w:rsidRPr="006C30F6">
        <w:rPr>
          <w:rFonts w:cs="Arial"/>
          <w:sz w:val="22"/>
          <w:szCs w:val="22"/>
          <w:lang w:eastAsia="sl-SI"/>
        </w:rPr>
        <w:lastRenderedPageBreak/>
        <w:t>usposabljanja, natančne</w:t>
      </w:r>
      <w:r>
        <w:rPr>
          <w:rFonts w:cs="Arial"/>
          <w:sz w:val="22"/>
          <w:szCs w:val="22"/>
          <w:lang w:eastAsia="sl-SI"/>
        </w:rPr>
        <w:t xml:space="preserve"> sinhronizacije </w:t>
      </w:r>
      <w:r w:rsidRPr="006C30F6">
        <w:rPr>
          <w:rFonts w:cs="Arial"/>
          <w:sz w:val="22"/>
          <w:szCs w:val="22"/>
          <w:lang w:eastAsia="sl-SI"/>
        </w:rPr>
        <w:t>in sklepanja za manjše ali specializirane modele. Postavljeni na različnih ravneh kot regionalna središča umetne inteligence naslavljajo povpraševanje zunaj LLM ali LRM, hkrati pa ostajajo dostopni organizacijam različnih velikosti.</w:t>
      </w:r>
    </w:p>
    <w:p w14:paraId="1570C86A" w14:textId="77777777" w:rsidR="00F62491" w:rsidRPr="006C30F6" w:rsidRDefault="00F62491" w:rsidP="00F62491">
      <w:pPr>
        <w:spacing w:line="240" w:lineRule="auto"/>
        <w:jc w:val="both"/>
        <w:rPr>
          <w:rFonts w:cs="Arial"/>
          <w:sz w:val="22"/>
          <w:szCs w:val="22"/>
          <w:lang w:eastAsia="sl-SI"/>
        </w:rPr>
      </w:pPr>
    </w:p>
    <w:p w14:paraId="22C5416F" w14:textId="77777777" w:rsidR="00F62491" w:rsidRDefault="00F62491" w:rsidP="00F62491">
      <w:pPr>
        <w:spacing w:line="240" w:lineRule="auto"/>
        <w:jc w:val="both"/>
        <w:rPr>
          <w:rFonts w:cs="Arial"/>
          <w:sz w:val="22"/>
          <w:szCs w:val="22"/>
          <w:lang w:eastAsia="sl-SI"/>
        </w:rPr>
      </w:pPr>
      <w:r w:rsidRPr="006C30F6">
        <w:rPr>
          <w:rFonts w:cs="Arial"/>
          <w:sz w:val="22"/>
          <w:szCs w:val="22"/>
          <w:lang w:eastAsia="sl-SI"/>
        </w:rPr>
        <w:t>Ti sateliti so del ekosistema storitev v oblaku in umetne inteligence, ki zagotavljajo storitve, potrebne za verigo vrednost</w:t>
      </w:r>
      <w:r>
        <w:rPr>
          <w:rFonts w:cs="Arial"/>
          <w:sz w:val="22"/>
          <w:szCs w:val="22"/>
          <w:lang w:eastAsia="sl-SI"/>
        </w:rPr>
        <w:t>i</w:t>
      </w:r>
      <w:r w:rsidRPr="006C30F6">
        <w:rPr>
          <w:rFonts w:cs="Arial"/>
          <w:sz w:val="22"/>
          <w:szCs w:val="22"/>
          <w:lang w:eastAsia="sl-SI"/>
        </w:rPr>
        <w:t xml:space="preserve"> umetne inteligence. Kot taki običajno dopolnjujejo storitve tovarn umetne inteligence in </w:t>
      </w:r>
      <w:proofErr w:type="spellStart"/>
      <w:r w:rsidRPr="006C30F6">
        <w:rPr>
          <w:rFonts w:cs="Arial"/>
          <w:sz w:val="22"/>
          <w:szCs w:val="22"/>
          <w:lang w:eastAsia="sl-SI"/>
        </w:rPr>
        <w:t>gigatovarn</w:t>
      </w:r>
      <w:proofErr w:type="spellEnd"/>
      <w:r w:rsidRPr="006C30F6">
        <w:rPr>
          <w:rFonts w:cs="Arial"/>
          <w:sz w:val="22"/>
          <w:szCs w:val="22"/>
          <w:lang w:eastAsia="sl-SI"/>
        </w:rPr>
        <w:t xml:space="preserve"> umetne inteligence, s katerimi so povezani v smislu </w:t>
      </w:r>
      <w:proofErr w:type="spellStart"/>
      <w:r w:rsidRPr="006C30F6">
        <w:rPr>
          <w:rFonts w:cs="Arial"/>
          <w:sz w:val="22"/>
          <w:szCs w:val="22"/>
          <w:lang w:eastAsia="sl-SI"/>
        </w:rPr>
        <w:t>interoperabilnosti</w:t>
      </w:r>
      <w:proofErr w:type="spellEnd"/>
      <w:r w:rsidRPr="006C30F6">
        <w:rPr>
          <w:rFonts w:cs="Arial"/>
          <w:sz w:val="22"/>
          <w:szCs w:val="22"/>
          <w:lang w:eastAsia="sl-SI"/>
        </w:rPr>
        <w:t xml:space="preserve">. Medtem ko se satelit lahko osredotoča na storitve, kot sta </w:t>
      </w:r>
      <w:proofErr w:type="spellStart"/>
      <w:r w:rsidRPr="006C30F6">
        <w:rPr>
          <w:rFonts w:cs="Arial"/>
          <w:sz w:val="22"/>
          <w:szCs w:val="22"/>
          <w:lang w:eastAsia="sl-SI"/>
        </w:rPr>
        <w:t>predobdelava</w:t>
      </w:r>
      <w:proofErr w:type="spellEnd"/>
      <w:r w:rsidRPr="006C30F6">
        <w:rPr>
          <w:rFonts w:cs="Arial"/>
          <w:sz w:val="22"/>
          <w:szCs w:val="22"/>
          <w:lang w:eastAsia="sl-SI"/>
        </w:rPr>
        <w:t xml:space="preserve"> podatkov v skladu z zahtevami glede zasebnosti, bodo tovarne umetne inteligence zagotavljale zmogljivost dostopa na zahtevo in usposabljanje velikih količin podatkov</w:t>
      </w:r>
      <w:r>
        <w:rPr>
          <w:rFonts w:cs="Arial"/>
          <w:sz w:val="22"/>
          <w:szCs w:val="22"/>
          <w:lang w:eastAsia="sl-SI"/>
        </w:rPr>
        <w:t xml:space="preserve"> javnega značaja</w:t>
      </w:r>
      <w:r w:rsidRPr="006C30F6">
        <w:rPr>
          <w:rFonts w:cs="Arial"/>
          <w:sz w:val="22"/>
          <w:szCs w:val="22"/>
          <w:lang w:eastAsia="sl-SI"/>
        </w:rPr>
        <w:t xml:space="preserve">, ki si jih delijo organizacije za </w:t>
      </w:r>
      <w:r>
        <w:rPr>
          <w:rFonts w:cs="Arial"/>
          <w:sz w:val="22"/>
          <w:szCs w:val="22"/>
          <w:lang w:eastAsia="sl-SI"/>
        </w:rPr>
        <w:t>namen sodelovanja</w:t>
      </w:r>
      <w:r w:rsidRPr="006C30F6">
        <w:rPr>
          <w:rFonts w:cs="Arial"/>
          <w:sz w:val="22"/>
          <w:szCs w:val="22"/>
          <w:lang w:eastAsia="sl-SI"/>
        </w:rPr>
        <w:t xml:space="preserve">. Povezava </w:t>
      </w:r>
      <w:r>
        <w:rPr>
          <w:rFonts w:cs="Arial"/>
          <w:sz w:val="22"/>
          <w:szCs w:val="22"/>
          <w:lang w:eastAsia="sl-SI"/>
        </w:rPr>
        <w:t>je</w:t>
      </w:r>
      <w:r w:rsidRPr="006C30F6">
        <w:rPr>
          <w:rFonts w:cs="Arial"/>
          <w:sz w:val="22"/>
          <w:szCs w:val="22"/>
          <w:lang w:eastAsia="sl-SI"/>
        </w:rPr>
        <w:t xml:space="preserve"> običajno izvedena s standardiziranimi API-ji.</w:t>
      </w:r>
    </w:p>
    <w:p w14:paraId="046BF846" w14:textId="77777777" w:rsidR="00F62491" w:rsidRDefault="00F62491" w:rsidP="00F62491">
      <w:pPr>
        <w:spacing w:line="240" w:lineRule="auto"/>
        <w:jc w:val="both"/>
        <w:rPr>
          <w:rFonts w:cs="Arial"/>
          <w:sz w:val="22"/>
          <w:szCs w:val="22"/>
          <w:lang w:eastAsia="sl-SI"/>
        </w:rPr>
      </w:pPr>
    </w:p>
    <w:p w14:paraId="3D204AB4" w14:textId="77777777" w:rsidR="00F62491" w:rsidRPr="006C30F6" w:rsidRDefault="00F62491" w:rsidP="00F62491">
      <w:pPr>
        <w:spacing w:line="240" w:lineRule="auto"/>
        <w:jc w:val="both"/>
        <w:rPr>
          <w:rFonts w:cs="Arial"/>
          <w:sz w:val="22"/>
          <w:szCs w:val="22"/>
          <w:lang w:eastAsia="sl-SI"/>
        </w:rPr>
      </w:pPr>
      <w:r w:rsidRPr="006C30F6">
        <w:rPr>
          <w:rFonts w:cs="Arial"/>
          <w:sz w:val="22"/>
          <w:szCs w:val="22"/>
          <w:lang w:eastAsia="sl-SI"/>
        </w:rPr>
        <w:t>Za razliko od velikih tovarn umetne inteligence, ki dajejo prednost modelom m</w:t>
      </w:r>
      <w:r>
        <w:rPr>
          <w:rFonts w:cs="Arial"/>
          <w:sz w:val="22"/>
          <w:szCs w:val="22"/>
          <w:lang w:eastAsia="sl-SI"/>
        </w:rPr>
        <w:t>arginalne</w:t>
      </w:r>
      <w:r w:rsidRPr="006C30F6">
        <w:rPr>
          <w:rFonts w:cs="Arial"/>
          <w:sz w:val="22"/>
          <w:szCs w:val="22"/>
          <w:lang w:eastAsia="sl-SI"/>
        </w:rPr>
        <w:t xml:space="preserve"> velikosti, se lahko sateliti umetne inteligence osredotočijo na specifične panoge in primere uporabe. Stranke v določenih panogah imajo lahko specializirane računalniške ali podatkovne zahteve, ki jih satelit lahko izpolni v edinstvenem položaju. Ti sateliti lahko zagotavljajo tudi regionalno pokritost, npr. za industrijske regije. Z razvojem načrtov za izvedbo (ki temeljijo na prvih izvedbah) je mogoče doseči učinkovite zmogljivosti uvajanja in zagotoviti močno sodelovanje med ponudniki iz različnih držav članic. Z uravnoteženjem delovne obremenitve med ponudniki satelitov bo doseženo infrastrukturno omrežje po vsej EU.</w:t>
      </w:r>
    </w:p>
    <w:p w14:paraId="1ADEBADA" w14:textId="77777777" w:rsidR="00F62491" w:rsidRPr="006C30F6" w:rsidRDefault="00F62491" w:rsidP="00F62491">
      <w:pPr>
        <w:spacing w:line="240" w:lineRule="auto"/>
        <w:jc w:val="both"/>
        <w:rPr>
          <w:rFonts w:cs="Arial"/>
          <w:sz w:val="22"/>
          <w:szCs w:val="22"/>
          <w:lang w:eastAsia="sl-SI"/>
        </w:rPr>
      </w:pPr>
    </w:p>
    <w:p w14:paraId="6DB30067" w14:textId="77777777" w:rsidR="00F62491" w:rsidRDefault="00F62491" w:rsidP="00F62491">
      <w:pPr>
        <w:spacing w:line="240" w:lineRule="auto"/>
        <w:jc w:val="both"/>
        <w:rPr>
          <w:rFonts w:cs="Arial"/>
          <w:sz w:val="22"/>
          <w:szCs w:val="22"/>
          <w:lang w:eastAsia="sl-SI"/>
        </w:rPr>
      </w:pPr>
      <w:r w:rsidRPr="006C30F6">
        <w:rPr>
          <w:rFonts w:cs="Arial"/>
          <w:sz w:val="22"/>
          <w:szCs w:val="22"/>
          <w:lang w:eastAsia="sl-SI"/>
        </w:rPr>
        <w:t xml:space="preserve">Posledično scenarij satelitov za tovarne umetne inteligence v glavnem zagotavlja usposabljanje majhnih in srednje velikih modelov, naknadno usposabljanje, fino nastavitev, gostovanje modelov, zrcaljenje </w:t>
      </w:r>
      <w:r>
        <w:rPr>
          <w:rFonts w:cs="Arial"/>
          <w:sz w:val="22"/>
          <w:szCs w:val="22"/>
          <w:lang w:eastAsia="sl-SI"/>
        </w:rPr>
        <w:t>»</w:t>
      </w:r>
      <w:proofErr w:type="spellStart"/>
      <w:r w:rsidRPr="006C30F6">
        <w:rPr>
          <w:rFonts w:cs="Arial"/>
          <w:sz w:val="22"/>
          <w:szCs w:val="22"/>
          <w:lang w:eastAsia="sl-SI"/>
        </w:rPr>
        <w:t>Huggingface</w:t>
      </w:r>
      <w:proofErr w:type="spellEnd"/>
      <w:r w:rsidRPr="006C30F6">
        <w:rPr>
          <w:rFonts w:cs="Arial"/>
          <w:sz w:val="22"/>
          <w:szCs w:val="22"/>
          <w:lang w:eastAsia="sl-SI"/>
        </w:rPr>
        <w:t xml:space="preserve"> </w:t>
      </w:r>
      <w:proofErr w:type="spellStart"/>
      <w:r w:rsidRPr="006C30F6">
        <w:rPr>
          <w:rFonts w:cs="Arial"/>
          <w:sz w:val="22"/>
          <w:szCs w:val="22"/>
          <w:lang w:eastAsia="sl-SI"/>
        </w:rPr>
        <w:t>itd</w:t>
      </w:r>
      <w:proofErr w:type="spellEnd"/>
      <w:r>
        <w:rPr>
          <w:rFonts w:cs="Arial"/>
          <w:sz w:val="22"/>
          <w:szCs w:val="22"/>
          <w:lang w:eastAsia="sl-SI"/>
        </w:rPr>
        <w:t>«</w:t>
      </w:r>
      <w:r w:rsidRPr="006C30F6">
        <w:rPr>
          <w:rFonts w:cs="Arial"/>
          <w:sz w:val="22"/>
          <w:szCs w:val="22"/>
          <w:lang w:eastAsia="sl-SI"/>
        </w:rPr>
        <w:t>. Scenarij naj bi bil zelo pomemben za evropske vodilne ponudnike, ponudnike podatkovnih centrov in storitev v oblaku, pa tudi za mala in srednje velika podjetja, zagonska podjetja, pobude kampusov in projekte v industriji blizu raziskav.</w:t>
      </w:r>
    </w:p>
    <w:p w14:paraId="07236D00" w14:textId="77777777" w:rsidR="00F62491" w:rsidRDefault="00F62491" w:rsidP="00F62491">
      <w:pPr>
        <w:spacing w:line="240" w:lineRule="auto"/>
        <w:jc w:val="both"/>
        <w:rPr>
          <w:rFonts w:cs="Arial"/>
          <w:sz w:val="22"/>
          <w:szCs w:val="22"/>
          <w:lang w:eastAsia="sl-SI"/>
        </w:rPr>
      </w:pPr>
    </w:p>
    <w:p w14:paraId="75195CF5" w14:textId="77777777" w:rsidR="00F62491" w:rsidRPr="006C30F6" w:rsidRDefault="00F62491" w:rsidP="00F62491">
      <w:pPr>
        <w:spacing w:line="240" w:lineRule="auto"/>
        <w:jc w:val="both"/>
        <w:rPr>
          <w:rFonts w:cs="Arial"/>
          <w:b/>
          <w:bCs/>
          <w:sz w:val="22"/>
          <w:szCs w:val="22"/>
          <w:lang w:eastAsia="sl-SI"/>
        </w:rPr>
      </w:pPr>
      <w:r w:rsidRPr="006C30F6">
        <w:rPr>
          <w:rFonts w:cs="Arial"/>
          <w:b/>
          <w:bCs/>
          <w:sz w:val="22"/>
          <w:szCs w:val="22"/>
          <w:lang w:eastAsia="sl-SI"/>
        </w:rPr>
        <w:t>Primer scenarija uporabe št. 3: Avtonomna vožnja in napredni sistemi za pomoč vozniku</w:t>
      </w:r>
    </w:p>
    <w:p w14:paraId="6910198A" w14:textId="77777777" w:rsidR="00F62491" w:rsidRDefault="00F62491" w:rsidP="00F62491">
      <w:pPr>
        <w:spacing w:line="240" w:lineRule="auto"/>
        <w:jc w:val="both"/>
        <w:rPr>
          <w:rFonts w:cs="Arial"/>
          <w:sz w:val="22"/>
          <w:szCs w:val="22"/>
          <w:lang w:eastAsia="sl-SI"/>
        </w:rPr>
      </w:pPr>
      <w:r w:rsidRPr="006C30F6">
        <w:rPr>
          <w:rFonts w:cs="Arial"/>
          <w:sz w:val="22"/>
          <w:szCs w:val="22"/>
          <w:lang w:eastAsia="sl-SI"/>
        </w:rPr>
        <w:t>Scenarij uporabe za avtonomno vožnjo in napredne sisteme za pomoč vozniku je eden najbolj kompleksnih glede na vrsto uporabljenih tehnologij in predstavlja pomemben napredek za avtomobilsko industrijo. Potrebne tehnologije obravnavajo funkcionalnosti za kritična varnostna vprašanja s ciljem znatnega zmanjšanja števila nesreč, ki so posledica človeških napak, kot so motnje, utrujenost ali zapoznele reakcije. Poleg tega te tehnologije izboljšujejo optimizacijo prometnega toka in s tem zmanjšujejo porabo goriva ali energije. Obravnavati je treba integracijo in učinkovito uvajanje teh naprednih rešitev umetne inteligence v vgrajene (v vozilu) in robne računalniške platforme. Zato bo razvoj integrirane, celovite verige orodij bistvenega pomena za neprekinjeno usposabljanje, simulacijo, testiranje in validacijo modelov umetne inteligence skozi celoten življenjski cikel razvoja.</w:t>
      </w:r>
    </w:p>
    <w:p w14:paraId="29B0AAC3" w14:textId="77777777" w:rsidR="00F62491" w:rsidRDefault="00F62491" w:rsidP="00F62491">
      <w:pPr>
        <w:spacing w:line="240" w:lineRule="auto"/>
        <w:jc w:val="both"/>
        <w:rPr>
          <w:rFonts w:cs="Arial"/>
          <w:sz w:val="22"/>
          <w:szCs w:val="22"/>
          <w:lang w:eastAsia="sl-SI"/>
        </w:rPr>
      </w:pPr>
    </w:p>
    <w:p w14:paraId="7993B654" w14:textId="77777777" w:rsidR="00F62491" w:rsidRDefault="00F62491" w:rsidP="00F62491">
      <w:pPr>
        <w:spacing w:line="240" w:lineRule="auto"/>
        <w:jc w:val="both"/>
        <w:rPr>
          <w:rFonts w:cs="Arial"/>
          <w:sz w:val="22"/>
          <w:szCs w:val="22"/>
          <w:lang w:eastAsia="sl-SI"/>
        </w:rPr>
      </w:pPr>
      <w:r w:rsidRPr="006C30F6">
        <w:rPr>
          <w:rFonts w:cs="Arial"/>
          <w:sz w:val="22"/>
          <w:szCs w:val="22"/>
          <w:lang w:eastAsia="sl-SI"/>
        </w:rPr>
        <w:t>Varne in zanesljive komunikacijske tehnologije, skupaj z robustnimi praksami kibernetske varnosti in strogimi ukrepi za varstvo podatkov, so ključnega pomena za zagotavljanje varnosti in zanesljivosti avtonomnih sistemov. Zahteve glede infrastrukture vključujejo komunikacijo, shranjevanje podatkov in računalništvo. Komunikacija s platformami za robno računalništvo vključuje dve kategoriji prenosa podatkov: ad-hoc komunikacijo, ki jo sestavljajo manjši podatkovni paketi, npr. pod 1 MB (za sprožilce ali ciljno usmerjene poizvedbe), in načrtovano komunikacijo, ki vključuje velike podatkovne pakete velikosti 1 GB ali več, kot so posodobitve po brezžičnem omrežju, podatki meritev in dnevniki.</w:t>
      </w:r>
    </w:p>
    <w:p w14:paraId="32C6BD43" w14:textId="77777777" w:rsidR="00F62491" w:rsidRDefault="00F62491" w:rsidP="00F62491">
      <w:pPr>
        <w:spacing w:line="240" w:lineRule="auto"/>
        <w:jc w:val="both"/>
        <w:rPr>
          <w:rFonts w:cs="Arial"/>
          <w:sz w:val="22"/>
          <w:szCs w:val="22"/>
          <w:lang w:eastAsia="sl-SI"/>
        </w:rPr>
      </w:pPr>
    </w:p>
    <w:p w14:paraId="0D5779DA" w14:textId="77777777" w:rsidR="00F62491" w:rsidRDefault="00F62491" w:rsidP="00F62491">
      <w:pPr>
        <w:spacing w:line="240" w:lineRule="auto"/>
        <w:jc w:val="both"/>
        <w:rPr>
          <w:rFonts w:cs="Arial"/>
          <w:sz w:val="22"/>
          <w:szCs w:val="22"/>
          <w:lang w:eastAsia="sl-SI"/>
        </w:rPr>
      </w:pPr>
      <w:r w:rsidRPr="006C30F6">
        <w:rPr>
          <w:rFonts w:cs="Arial"/>
          <w:sz w:val="22"/>
          <w:szCs w:val="22"/>
          <w:lang w:eastAsia="sl-SI"/>
        </w:rPr>
        <w:lastRenderedPageBreak/>
        <w:t xml:space="preserve">Vgrajene računalniške zmogljivosti za avtonomno vožnjo običajno zahtevajo procesorsko moč, ki presega 2 TFLOPS ali 200 TOPS. Dodatni računalniški viri so bistveni, tako na robovih omrežja kot v oblaku, za simulacijske in </w:t>
      </w:r>
      <w:proofErr w:type="spellStart"/>
      <w:r w:rsidRPr="006C30F6">
        <w:rPr>
          <w:rFonts w:cs="Arial"/>
          <w:sz w:val="22"/>
          <w:szCs w:val="22"/>
          <w:lang w:eastAsia="sl-SI"/>
        </w:rPr>
        <w:t>validacijske</w:t>
      </w:r>
      <w:proofErr w:type="spellEnd"/>
      <w:r w:rsidRPr="006C30F6">
        <w:rPr>
          <w:rFonts w:cs="Arial"/>
          <w:sz w:val="22"/>
          <w:szCs w:val="22"/>
          <w:lang w:eastAsia="sl-SI"/>
        </w:rPr>
        <w:t xml:space="preserve"> procese, npr. zaradi varčevanja z energijo in viri, pri čemer se funkcije, ki niso povezane z varnostjo, prenesejo iz vozila v oblak. Zato je robno računalništvo, ki temelji na prometni infrastrukturi, pomemben vidik računalniških virov za usposabljanje umetne inteligence in bi moralo podpirati osnovne delovne obremenitve za manjše dejavnosti usposabljanja, npr. tiste, ki zahtevajo več kot 1000 grafičnih procesorjev. Ti se običajno uporabljajo za </w:t>
      </w:r>
      <w:proofErr w:type="spellStart"/>
      <w:r w:rsidRPr="006C30F6">
        <w:rPr>
          <w:rFonts w:cs="Arial"/>
          <w:sz w:val="22"/>
          <w:szCs w:val="22"/>
          <w:lang w:eastAsia="sl-SI"/>
        </w:rPr>
        <w:t>predrazvoj</w:t>
      </w:r>
      <w:proofErr w:type="spellEnd"/>
      <w:r w:rsidRPr="006C30F6">
        <w:rPr>
          <w:rFonts w:cs="Arial"/>
          <w:sz w:val="22"/>
          <w:szCs w:val="22"/>
          <w:lang w:eastAsia="sl-SI"/>
        </w:rPr>
        <w:t>, manjše posodobitve modelov in sorodne naloge. Viri računalništva v oblaku, npr. tovarne umetne inteligence, so potrebni za delovne obremenitve</w:t>
      </w:r>
      <w:r>
        <w:rPr>
          <w:rFonts w:cs="Arial"/>
          <w:sz w:val="22"/>
          <w:szCs w:val="22"/>
          <w:lang w:eastAsia="sl-SI"/>
        </w:rPr>
        <w:t xml:space="preserve"> v konicah</w:t>
      </w:r>
      <w:r w:rsidRPr="006C30F6">
        <w:rPr>
          <w:rFonts w:cs="Arial"/>
          <w:sz w:val="22"/>
          <w:szCs w:val="22"/>
          <w:lang w:eastAsia="sl-SI"/>
        </w:rPr>
        <w:t>, ki vključujejo občasne obsežn</w:t>
      </w:r>
      <w:r>
        <w:rPr>
          <w:rFonts w:cs="Arial"/>
          <w:sz w:val="22"/>
          <w:szCs w:val="22"/>
          <w:lang w:eastAsia="sl-SI"/>
        </w:rPr>
        <w:t>a</w:t>
      </w:r>
      <w:r w:rsidRPr="006C30F6">
        <w:rPr>
          <w:rFonts w:cs="Arial"/>
          <w:sz w:val="22"/>
          <w:szCs w:val="22"/>
          <w:lang w:eastAsia="sl-SI"/>
        </w:rPr>
        <w:t xml:space="preserve"> usposabljanja, npr. tiste, ki zahtevajo več kot 10.000 grafičnih procesorjev.</w:t>
      </w:r>
    </w:p>
    <w:p w14:paraId="6FEA50BF" w14:textId="77777777" w:rsidR="00F62491" w:rsidRDefault="00F62491" w:rsidP="00F62491">
      <w:pPr>
        <w:spacing w:line="240" w:lineRule="auto"/>
        <w:jc w:val="both"/>
        <w:rPr>
          <w:rFonts w:cs="Arial"/>
          <w:sz w:val="22"/>
          <w:szCs w:val="22"/>
          <w:lang w:eastAsia="sl-SI"/>
        </w:rPr>
      </w:pPr>
    </w:p>
    <w:p w14:paraId="0B28A434" w14:textId="77777777" w:rsidR="00F62491" w:rsidRDefault="00F62491" w:rsidP="00F62491">
      <w:pPr>
        <w:spacing w:line="240" w:lineRule="auto"/>
        <w:jc w:val="both"/>
        <w:rPr>
          <w:rFonts w:cs="Arial"/>
          <w:sz w:val="22"/>
          <w:szCs w:val="22"/>
          <w:lang w:eastAsia="sl-SI"/>
        </w:rPr>
      </w:pPr>
      <w:r w:rsidRPr="009A562F">
        <w:rPr>
          <w:rFonts w:cs="Arial"/>
          <w:b/>
          <w:bCs/>
          <w:sz w:val="22"/>
          <w:szCs w:val="22"/>
          <w:lang w:eastAsia="sl-SI"/>
        </w:rPr>
        <w:t>Primer scenarija uporabe št. 4:</w:t>
      </w:r>
      <w:r w:rsidRPr="009A562F">
        <w:rPr>
          <w:rFonts w:cs="Arial"/>
          <w:sz w:val="22"/>
          <w:szCs w:val="22"/>
          <w:lang w:eastAsia="sl-SI"/>
        </w:rPr>
        <w:t xml:space="preserve"> Scenarij ničelnega zaupanja za ohranjanje zasebnosti in obvladljivo večplastno izvajanje na robu omrežja</w:t>
      </w:r>
    </w:p>
    <w:p w14:paraId="31301943" w14:textId="77777777" w:rsidR="00F62491" w:rsidRPr="009A562F" w:rsidRDefault="00F62491" w:rsidP="00F62491">
      <w:pPr>
        <w:spacing w:line="240" w:lineRule="auto"/>
        <w:jc w:val="both"/>
        <w:rPr>
          <w:rFonts w:cs="Arial"/>
          <w:sz w:val="22"/>
          <w:szCs w:val="22"/>
          <w:lang w:eastAsia="sl-SI"/>
        </w:rPr>
      </w:pPr>
    </w:p>
    <w:p w14:paraId="1D45E5ED" w14:textId="77777777" w:rsidR="00F62491" w:rsidRDefault="00F62491" w:rsidP="00F62491">
      <w:pPr>
        <w:spacing w:line="240" w:lineRule="auto"/>
        <w:jc w:val="both"/>
        <w:rPr>
          <w:rFonts w:cs="Arial"/>
          <w:sz w:val="22"/>
          <w:szCs w:val="22"/>
          <w:lang w:eastAsia="sl-SI"/>
        </w:rPr>
      </w:pPr>
      <w:r w:rsidRPr="009A562F">
        <w:rPr>
          <w:rFonts w:cs="Arial"/>
          <w:sz w:val="22"/>
          <w:szCs w:val="22"/>
          <w:lang w:eastAsia="sl-SI"/>
        </w:rPr>
        <w:t>Cilj tega scenarija je lokalizirati vso obdelavo zasebnih in občutljivih podatkov – vključno z izdajanjem preverljivih poverilnic (VC), razreševanjem identitet in preverjanjem – na robu omrežja, v skladu s strogimi zahtevami glede upravljanja podatkov in suverenosti. V oblaku bodo shranjeni le neobčutljivi metapodatki, sheme poverilnic in definicije politik zaupanja, kar zagotavlja ničelni odtis osebnih podatkov v centraliziranih infrastrukturah.</w:t>
      </w:r>
    </w:p>
    <w:p w14:paraId="1D926C9F" w14:textId="77777777" w:rsidR="00F62491" w:rsidRPr="009A562F" w:rsidRDefault="00F62491" w:rsidP="00F62491">
      <w:pPr>
        <w:spacing w:line="240" w:lineRule="auto"/>
        <w:jc w:val="both"/>
        <w:rPr>
          <w:rFonts w:cs="Arial"/>
          <w:sz w:val="22"/>
          <w:szCs w:val="22"/>
          <w:lang w:eastAsia="sl-SI"/>
        </w:rPr>
      </w:pPr>
    </w:p>
    <w:p w14:paraId="155DDA18" w14:textId="77777777" w:rsidR="00F62491" w:rsidRDefault="00F62491" w:rsidP="00F62491">
      <w:pPr>
        <w:spacing w:line="240" w:lineRule="auto"/>
        <w:jc w:val="both"/>
        <w:rPr>
          <w:rFonts w:cs="Arial"/>
          <w:sz w:val="22"/>
          <w:szCs w:val="22"/>
          <w:lang w:eastAsia="sl-SI"/>
        </w:rPr>
      </w:pPr>
      <w:r w:rsidRPr="009A562F">
        <w:rPr>
          <w:rFonts w:cs="Arial"/>
          <w:sz w:val="22"/>
          <w:szCs w:val="22"/>
          <w:lang w:eastAsia="sl-SI"/>
        </w:rPr>
        <w:t>Združeni okvir upravljanja bo pomagal nadzorovati vse tokove podatkov in interakcije med oblakom in robnimi ravnmi, kot sta metro-rob ali bližnja lokacija. To vključuje natančen nadzor dostopa, namensko omejena dovoljenja in popolnoma soglasne premike podatkov, omogočene z varnostnim modelom ničelnega zaupanja in uveljavljanjem mehanizmov dokazovanja ničelnega znanja, kjer je to primerno. Vse izmenjave podatkov bodo kriptografsko podpisane in časovno žigosane, da se zagotovi možnost revizije, vendar brez ogrožanja suverenosti ali lokalnosti občutljivih podatkovnih sredstev.</w:t>
      </w:r>
    </w:p>
    <w:p w14:paraId="4C848563" w14:textId="77777777" w:rsidR="00F62491" w:rsidRDefault="00F62491" w:rsidP="00F62491">
      <w:pPr>
        <w:spacing w:line="240" w:lineRule="auto"/>
        <w:jc w:val="both"/>
        <w:rPr>
          <w:rFonts w:cs="Arial"/>
          <w:sz w:val="22"/>
          <w:szCs w:val="22"/>
          <w:lang w:eastAsia="sl-SI"/>
        </w:rPr>
      </w:pPr>
    </w:p>
    <w:p w14:paraId="2491EEE6" w14:textId="157A0CE8" w:rsidR="004F1DF8" w:rsidRDefault="00F62491" w:rsidP="00A92C6B">
      <w:pPr>
        <w:spacing w:line="240" w:lineRule="auto"/>
        <w:jc w:val="both"/>
        <w:rPr>
          <w:rFonts w:cs="Arial"/>
          <w:sz w:val="22"/>
          <w:szCs w:val="22"/>
          <w:lang w:eastAsia="sl-SI"/>
        </w:rPr>
      </w:pPr>
      <w:r w:rsidRPr="008A0A3E">
        <w:rPr>
          <w:rFonts w:cs="Arial"/>
          <w:sz w:val="22"/>
          <w:szCs w:val="22"/>
          <w:lang w:eastAsia="sl-SI"/>
        </w:rPr>
        <w:t>Za zagotovitev semant</w:t>
      </w:r>
      <w:r>
        <w:rPr>
          <w:rFonts w:cs="Arial"/>
          <w:sz w:val="22"/>
          <w:szCs w:val="22"/>
          <w:lang w:eastAsia="sl-SI"/>
        </w:rPr>
        <w:t>ične</w:t>
      </w:r>
      <w:r w:rsidRPr="008A0A3E">
        <w:rPr>
          <w:rFonts w:cs="Arial"/>
          <w:sz w:val="22"/>
          <w:szCs w:val="22"/>
          <w:lang w:eastAsia="sl-SI"/>
        </w:rPr>
        <w:t xml:space="preserve"> preglednosti in sledljivosti bo arhitektura integrirala ontologijo identitet in entitet, vključenih v vse ravni (izdajatelji, imetniki, prever</w:t>
      </w:r>
      <w:r>
        <w:rPr>
          <w:rFonts w:cs="Arial"/>
          <w:sz w:val="22"/>
          <w:szCs w:val="22"/>
          <w:lang w:eastAsia="sl-SI"/>
        </w:rPr>
        <w:t>jevalci</w:t>
      </w:r>
      <w:r w:rsidRPr="008A0A3E">
        <w:rPr>
          <w:rFonts w:cs="Arial"/>
          <w:sz w:val="22"/>
          <w:szCs w:val="22"/>
          <w:lang w:eastAsia="sl-SI"/>
        </w:rPr>
        <w:t xml:space="preserve">, registri in vozlišča upravljanja), ki temeljijo na slovarjih, usklajenih z vozlišči W3C in verige blokov. Ta ontologija bo podpirala avtomatizirano sklepanje in uveljavljanje politik med izvajanjem, kar bo omogočilo </w:t>
      </w:r>
      <w:proofErr w:type="spellStart"/>
      <w:r w:rsidRPr="008A0A3E">
        <w:rPr>
          <w:rFonts w:cs="Arial"/>
          <w:sz w:val="22"/>
          <w:szCs w:val="22"/>
          <w:lang w:eastAsia="sl-SI"/>
        </w:rPr>
        <w:t>samoopisne</w:t>
      </w:r>
      <w:proofErr w:type="spellEnd"/>
      <w:r w:rsidRPr="008A0A3E">
        <w:rPr>
          <w:rFonts w:cs="Arial"/>
          <w:sz w:val="22"/>
          <w:szCs w:val="22"/>
          <w:lang w:eastAsia="sl-SI"/>
        </w:rPr>
        <w:t xml:space="preserve"> in </w:t>
      </w:r>
      <w:proofErr w:type="spellStart"/>
      <w:r w:rsidRPr="008A0A3E">
        <w:rPr>
          <w:rFonts w:cs="Arial"/>
          <w:sz w:val="22"/>
          <w:szCs w:val="22"/>
          <w:lang w:eastAsia="sl-SI"/>
        </w:rPr>
        <w:t>samorevidirajoče</w:t>
      </w:r>
      <w:proofErr w:type="spellEnd"/>
      <w:r w:rsidRPr="008A0A3E">
        <w:rPr>
          <w:rFonts w:cs="Arial"/>
          <w:sz w:val="22"/>
          <w:szCs w:val="22"/>
          <w:lang w:eastAsia="sl-SI"/>
        </w:rPr>
        <w:t xml:space="preserve"> transakcije ter dokazila o skladnosti</w:t>
      </w:r>
    </w:p>
    <w:p w14:paraId="4DAB3080" w14:textId="77777777" w:rsidR="00A92C6B" w:rsidRDefault="00A92C6B" w:rsidP="00A92C6B">
      <w:pPr>
        <w:spacing w:line="240" w:lineRule="auto"/>
        <w:jc w:val="both"/>
        <w:rPr>
          <w:rFonts w:cs="Arial"/>
          <w:sz w:val="22"/>
          <w:szCs w:val="22"/>
          <w:lang w:eastAsia="sl-SI"/>
        </w:rPr>
      </w:pPr>
    </w:p>
    <w:p w14:paraId="4074D1D1"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4F248553"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0CA7EAD3"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0AF3530B"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3D681667"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1E8113CA"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4B11D1E1"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6D1FB6F3"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32D36B47"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3F8D634E"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3A040A82"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3DFD7B40"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594E00FF"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p w14:paraId="63EFBF14" w14:textId="77777777" w:rsidR="009979F7" w:rsidRDefault="009979F7" w:rsidP="004F1DF8">
      <w:pPr>
        <w:tabs>
          <w:tab w:val="left" w:pos="0"/>
          <w:tab w:val="left" w:pos="284"/>
        </w:tabs>
        <w:spacing w:before="100" w:beforeAutospacing="1" w:after="100" w:afterAutospacing="1" w:line="276" w:lineRule="auto"/>
        <w:jc w:val="both"/>
        <w:rPr>
          <w:rFonts w:cs="Arial"/>
          <w:i/>
          <w:iCs/>
          <w:sz w:val="22"/>
          <w:szCs w:val="22"/>
          <w:lang w:eastAsia="sl-SI"/>
        </w:rPr>
      </w:pPr>
    </w:p>
    <w:sectPr w:rsidR="009979F7" w:rsidSect="00783310">
      <w:headerReference w:type="default" r:id="rId8"/>
      <w:footerReference w:type="even"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4846" w14:textId="77777777" w:rsidR="00D540E7" w:rsidRDefault="00D540E7" w:rsidP="008A4089">
      <w:pPr>
        <w:spacing w:line="240" w:lineRule="auto"/>
      </w:pPr>
      <w:r>
        <w:separator/>
      </w:r>
    </w:p>
  </w:endnote>
  <w:endnote w:type="continuationSeparator" w:id="0">
    <w:p w14:paraId="6BBE81C7" w14:textId="77777777" w:rsidR="00D540E7" w:rsidRDefault="00D540E7"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C66D" w14:textId="77777777" w:rsidR="00455A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F4459A" w14:textId="77777777" w:rsidR="00455AD5" w:rsidRDefault="00455A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F14" w14:textId="040C7404" w:rsidR="00455A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D0E24">
      <w:rPr>
        <w:rStyle w:val="tevilkastrani"/>
        <w:noProof/>
      </w:rPr>
      <w:t>2</w:t>
    </w:r>
    <w:r>
      <w:rPr>
        <w:rStyle w:val="tevilkastrani"/>
      </w:rPr>
      <w:fldChar w:fldCharType="end"/>
    </w:r>
  </w:p>
  <w:p w14:paraId="404FA55D" w14:textId="77777777" w:rsidR="00455AD5" w:rsidRDefault="00455A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6CEB" w14:textId="77777777" w:rsidR="00D540E7" w:rsidRDefault="00D540E7" w:rsidP="008A4089">
      <w:pPr>
        <w:spacing w:line="240" w:lineRule="auto"/>
      </w:pPr>
      <w:r>
        <w:separator/>
      </w:r>
    </w:p>
  </w:footnote>
  <w:footnote w:type="continuationSeparator" w:id="0">
    <w:p w14:paraId="500FA2F4" w14:textId="77777777" w:rsidR="00D540E7" w:rsidRDefault="00D540E7"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05CA" w14:textId="77777777" w:rsidR="00455AD5" w:rsidRPr="00110CBD" w:rsidRDefault="00455AD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5C26D4D7" w14:textId="77777777" w:rsidTr="00CA6DCC">
      <w:trPr>
        <w:trHeight w:hRule="exact" w:val="847"/>
      </w:trPr>
      <w:tc>
        <w:tcPr>
          <w:tcW w:w="649" w:type="dxa"/>
        </w:tcPr>
        <w:p w14:paraId="4B9D7DE1" w14:textId="48120CD9" w:rsidR="00455AD5" w:rsidRPr="006D42D9" w:rsidRDefault="00455AD5" w:rsidP="00354CE6">
          <w:pPr>
            <w:autoSpaceDE w:val="0"/>
            <w:autoSpaceDN w:val="0"/>
            <w:adjustRightInd w:val="0"/>
            <w:spacing w:line="240" w:lineRule="auto"/>
            <w:rPr>
              <w:rFonts w:ascii="Republika" w:hAnsi="Republika"/>
              <w:sz w:val="60"/>
              <w:szCs w:val="60"/>
            </w:rPr>
          </w:pPr>
        </w:p>
        <w:p w14:paraId="73F2F687" w14:textId="77777777" w:rsidR="00455AD5" w:rsidRPr="006D42D9" w:rsidRDefault="00455AD5" w:rsidP="007A37F8">
          <w:pPr>
            <w:rPr>
              <w:rFonts w:ascii="Republika" w:hAnsi="Republika"/>
              <w:sz w:val="60"/>
              <w:szCs w:val="60"/>
            </w:rPr>
          </w:pPr>
        </w:p>
        <w:p w14:paraId="4AE8986C" w14:textId="77777777" w:rsidR="00455AD5" w:rsidRPr="006D42D9" w:rsidRDefault="00455AD5" w:rsidP="007A37F8">
          <w:pPr>
            <w:rPr>
              <w:rFonts w:ascii="Republika" w:hAnsi="Republika"/>
              <w:sz w:val="60"/>
              <w:szCs w:val="60"/>
            </w:rPr>
          </w:pPr>
        </w:p>
        <w:p w14:paraId="582C38FB" w14:textId="77777777" w:rsidR="00455AD5" w:rsidRPr="006D42D9" w:rsidRDefault="00455AD5" w:rsidP="007A37F8">
          <w:pPr>
            <w:rPr>
              <w:rFonts w:ascii="Republika" w:hAnsi="Republika"/>
              <w:sz w:val="60"/>
              <w:szCs w:val="60"/>
            </w:rPr>
          </w:pPr>
        </w:p>
        <w:p w14:paraId="3392D58B" w14:textId="77777777" w:rsidR="00455AD5" w:rsidRPr="006D42D9" w:rsidRDefault="00455AD5" w:rsidP="007A37F8">
          <w:pPr>
            <w:rPr>
              <w:rFonts w:ascii="Republika" w:hAnsi="Republika"/>
              <w:sz w:val="60"/>
              <w:szCs w:val="60"/>
            </w:rPr>
          </w:pPr>
        </w:p>
        <w:p w14:paraId="2316FF9A" w14:textId="77777777" w:rsidR="00455AD5" w:rsidRPr="006D42D9" w:rsidRDefault="00455AD5" w:rsidP="007A37F8">
          <w:pPr>
            <w:rPr>
              <w:rFonts w:ascii="Republika" w:hAnsi="Republika"/>
              <w:sz w:val="60"/>
              <w:szCs w:val="60"/>
            </w:rPr>
          </w:pPr>
        </w:p>
        <w:p w14:paraId="44588313" w14:textId="77777777" w:rsidR="00455AD5" w:rsidRPr="006D42D9" w:rsidRDefault="00455AD5" w:rsidP="007A37F8">
          <w:pPr>
            <w:rPr>
              <w:rFonts w:ascii="Republika" w:hAnsi="Republika"/>
              <w:sz w:val="60"/>
              <w:szCs w:val="60"/>
            </w:rPr>
          </w:pPr>
        </w:p>
        <w:p w14:paraId="12A9385C" w14:textId="77777777" w:rsidR="00455AD5" w:rsidRPr="006D42D9" w:rsidRDefault="00455AD5" w:rsidP="007A37F8">
          <w:pPr>
            <w:rPr>
              <w:rFonts w:ascii="Republika" w:hAnsi="Republika"/>
              <w:sz w:val="60"/>
              <w:szCs w:val="60"/>
            </w:rPr>
          </w:pPr>
        </w:p>
        <w:p w14:paraId="00E3EDB4" w14:textId="77777777" w:rsidR="00455AD5" w:rsidRPr="006D42D9" w:rsidRDefault="00455AD5" w:rsidP="007A37F8">
          <w:pPr>
            <w:rPr>
              <w:rFonts w:ascii="Republika" w:hAnsi="Republika"/>
              <w:sz w:val="60"/>
              <w:szCs w:val="60"/>
            </w:rPr>
          </w:pPr>
        </w:p>
        <w:p w14:paraId="4322C26B" w14:textId="77777777" w:rsidR="00455AD5" w:rsidRPr="006D42D9" w:rsidRDefault="00455AD5" w:rsidP="007A37F8">
          <w:pPr>
            <w:rPr>
              <w:rFonts w:ascii="Republika" w:hAnsi="Republika"/>
              <w:sz w:val="60"/>
              <w:szCs w:val="60"/>
            </w:rPr>
          </w:pPr>
        </w:p>
        <w:p w14:paraId="27896D46" w14:textId="77777777" w:rsidR="00455AD5" w:rsidRPr="006D42D9" w:rsidRDefault="00455AD5" w:rsidP="007A37F8">
          <w:pPr>
            <w:rPr>
              <w:rFonts w:ascii="Republika" w:hAnsi="Republika"/>
              <w:sz w:val="60"/>
              <w:szCs w:val="60"/>
            </w:rPr>
          </w:pPr>
        </w:p>
        <w:p w14:paraId="5E31D2AC" w14:textId="77777777" w:rsidR="00455AD5" w:rsidRPr="006D42D9" w:rsidRDefault="00455AD5" w:rsidP="007A37F8">
          <w:pPr>
            <w:rPr>
              <w:rFonts w:ascii="Republika" w:hAnsi="Republika"/>
              <w:sz w:val="60"/>
              <w:szCs w:val="60"/>
            </w:rPr>
          </w:pPr>
        </w:p>
        <w:p w14:paraId="386BEBD3" w14:textId="77777777" w:rsidR="00455AD5" w:rsidRPr="006D42D9" w:rsidRDefault="00455AD5" w:rsidP="007A37F8">
          <w:pPr>
            <w:rPr>
              <w:rFonts w:ascii="Republika" w:hAnsi="Republika"/>
              <w:sz w:val="60"/>
              <w:szCs w:val="60"/>
            </w:rPr>
          </w:pPr>
        </w:p>
        <w:p w14:paraId="1F42C13D" w14:textId="77777777" w:rsidR="00455AD5" w:rsidRPr="006D42D9" w:rsidRDefault="00455AD5" w:rsidP="007A37F8">
          <w:pPr>
            <w:rPr>
              <w:rFonts w:ascii="Republika" w:hAnsi="Republika"/>
              <w:sz w:val="60"/>
              <w:szCs w:val="60"/>
            </w:rPr>
          </w:pPr>
        </w:p>
        <w:p w14:paraId="5EFC14DA" w14:textId="77777777" w:rsidR="00455AD5" w:rsidRPr="006D42D9" w:rsidRDefault="00455AD5" w:rsidP="007A37F8">
          <w:pPr>
            <w:rPr>
              <w:rFonts w:ascii="Republika" w:hAnsi="Republika"/>
              <w:sz w:val="60"/>
              <w:szCs w:val="60"/>
            </w:rPr>
          </w:pPr>
        </w:p>
        <w:p w14:paraId="07B8EB48" w14:textId="77777777" w:rsidR="00455AD5" w:rsidRPr="006D42D9" w:rsidRDefault="00455AD5" w:rsidP="007A37F8">
          <w:pPr>
            <w:rPr>
              <w:rFonts w:ascii="Republika" w:hAnsi="Republika"/>
              <w:sz w:val="60"/>
              <w:szCs w:val="60"/>
            </w:rPr>
          </w:pPr>
        </w:p>
      </w:tc>
    </w:tr>
  </w:tbl>
  <w:p w14:paraId="004F93C6" w14:textId="50501503" w:rsidR="00455AD5" w:rsidRPr="008F3500" w:rsidRDefault="00354CE6" w:rsidP="007D75CF">
    <w:pPr>
      <w:pStyle w:val="Glava"/>
      <w:tabs>
        <w:tab w:val="clear" w:pos="4320"/>
        <w:tab w:val="clear" w:pos="8640"/>
        <w:tab w:val="left" w:pos="5112"/>
      </w:tabs>
    </w:pPr>
    <w:r>
      <w:rPr>
        <w:noProof/>
      </w:rPr>
      <w:drawing>
        <wp:anchor distT="0" distB="0" distL="114300" distR="114300" simplePos="0" relativeHeight="251661312" behindDoc="0" locked="0" layoutInCell="1" allowOverlap="1" wp14:anchorId="2B42FA85" wp14:editId="1675A72B">
          <wp:simplePos x="0" y="0"/>
          <wp:positionH relativeFrom="margin">
            <wp:posOffset>2677131</wp:posOffset>
          </wp:positionH>
          <wp:positionV relativeFrom="margin">
            <wp:posOffset>-816592</wp:posOffset>
          </wp:positionV>
          <wp:extent cx="3087370" cy="64770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087370"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5EDCEAF" wp14:editId="5FF85E73">
          <wp:simplePos x="0" y="0"/>
          <wp:positionH relativeFrom="margin">
            <wp:posOffset>-568117</wp:posOffset>
          </wp:positionH>
          <wp:positionV relativeFrom="margin">
            <wp:posOffset>-723521</wp:posOffset>
          </wp:positionV>
          <wp:extent cx="2591435" cy="438150"/>
          <wp:effectExtent l="0" t="0" r="0" b="0"/>
          <wp:wrapSquare wrapText="bothSides"/>
          <wp:docPr id="11" name="Slika 1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grafika, simbol,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2591435"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20"/>
    <w:multiLevelType w:val="hybridMultilevel"/>
    <w:tmpl w:val="AD3A1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6A3621"/>
    <w:multiLevelType w:val="hybridMultilevel"/>
    <w:tmpl w:val="969692F0"/>
    <w:lvl w:ilvl="0" w:tplc="6C52F7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E32931"/>
    <w:multiLevelType w:val="hybridMultilevel"/>
    <w:tmpl w:val="3DC061D4"/>
    <w:lvl w:ilvl="0" w:tplc="04240011">
      <w:start w:val="1"/>
      <w:numFmt w:val="decimal"/>
      <w:lvlText w:val="%1)"/>
      <w:lvlJc w:val="left"/>
      <w:pPr>
        <w:ind w:left="720" w:hanging="360"/>
      </w:pPr>
      <w:rPr>
        <w:rFonts w:hint="default"/>
      </w:rPr>
    </w:lvl>
    <w:lvl w:ilvl="1" w:tplc="14F2E786">
      <w:start w:val="5"/>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8757C2"/>
    <w:multiLevelType w:val="hybridMultilevel"/>
    <w:tmpl w:val="ECCA88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465BB"/>
    <w:multiLevelType w:val="multilevel"/>
    <w:tmpl w:val="F2181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52D01"/>
    <w:multiLevelType w:val="hybridMultilevel"/>
    <w:tmpl w:val="79B490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A43A82"/>
    <w:multiLevelType w:val="hybridMultilevel"/>
    <w:tmpl w:val="75B2CB38"/>
    <w:lvl w:ilvl="0" w:tplc="CA5EF2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C255D5B"/>
    <w:multiLevelType w:val="hybridMultilevel"/>
    <w:tmpl w:val="7D161722"/>
    <w:lvl w:ilvl="0" w:tplc="CA5EF2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6F228E"/>
    <w:multiLevelType w:val="hybridMultilevel"/>
    <w:tmpl w:val="AA782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803952"/>
    <w:multiLevelType w:val="hybridMultilevel"/>
    <w:tmpl w:val="921CD7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5E180CFC"/>
    <w:multiLevelType w:val="hybridMultilevel"/>
    <w:tmpl w:val="62EEB24C"/>
    <w:lvl w:ilvl="0" w:tplc="C8169D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66456A"/>
    <w:multiLevelType w:val="hybridMultilevel"/>
    <w:tmpl w:val="0C56AFFE"/>
    <w:lvl w:ilvl="0" w:tplc="A5AA13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D12EAF"/>
    <w:multiLevelType w:val="hybridMultilevel"/>
    <w:tmpl w:val="2C44B63A"/>
    <w:lvl w:ilvl="0" w:tplc="14F2E786">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783B03"/>
    <w:multiLevelType w:val="multilevel"/>
    <w:tmpl w:val="583EA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F7100"/>
    <w:multiLevelType w:val="hybridMultilevel"/>
    <w:tmpl w:val="D5E0804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610F1C"/>
    <w:multiLevelType w:val="multilevel"/>
    <w:tmpl w:val="8A2AF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665397">
    <w:abstractNumId w:val="11"/>
  </w:num>
  <w:num w:numId="2" w16cid:durableId="912592745">
    <w:abstractNumId w:val="13"/>
  </w:num>
  <w:num w:numId="3" w16cid:durableId="1028485504">
    <w:abstractNumId w:val="15"/>
  </w:num>
  <w:num w:numId="4" w16cid:durableId="537938394">
    <w:abstractNumId w:val="4"/>
  </w:num>
  <w:num w:numId="5" w16cid:durableId="1492217432">
    <w:abstractNumId w:val="14"/>
  </w:num>
  <w:num w:numId="6" w16cid:durableId="184563249">
    <w:abstractNumId w:val="5"/>
  </w:num>
  <w:num w:numId="7" w16cid:durableId="450243854">
    <w:abstractNumId w:val="1"/>
  </w:num>
  <w:num w:numId="8" w16cid:durableId="1359306989">
    <w:abstractNumId w:val="2"/>
  </w:num>
  <w:num w:numId="9" w16cid:durableId="814220964">
    <w:abstractNumId w:val="0"/>
  </w:num>
  <w:num w:numId="10" w16cid:durableId="639771460">
    <w:abstractNumId w:val="12"/>
  </w:num>
  <w:num w:numId="11" w16cid:durableId="1030911830">
    <w:abstractNumId w:val="10"/>
  </w:num>
  <w:num w:numId="12" w16cid:durableId="1596203672">
    <w:abstractNumId w:val="9"/>
  </w:num>
  <w:num w:numId="13" w16cid:durableId="1499416986">
    <w:abstractNumId w:val="8"/>
  </w:num>
  <w:num w:numId="14" w16cid:durableId="439764763">
    <w:abstractNumId w:val="3"/>
  </w:num>
  <w:num w:numId="15" w16cid:durableId="1081218405">
    <w:abstractNumId w:val="6"/>
  </w:num>
  <w:num w:numId="16" w16cid:durableId="789665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1"/>
    <w:rsid w:val="00055191"/>
    <w:rsid w:val="00083CD6"/>
    <w:rsid w:val="00085A2B"/>
    <w:rsid w:val="001022EE"/>
    <w:rsid w:val="00114EED"/>
    <w:rsid w:val="00130387"/>
    <w:rsid w:val="00137356"/>
    <w:rsid w:val="001A1147"/>
    <w:rsid w:val="001A24B1"/>
    <w:rsid w:val="001B18E2"/>
    <w:rsid w:val="001D4786"/>
    <w:rsid w:val="001E6F9A"/>
    <w:rsid w:val="001F530A"/>
    <w:rsid w:val="001F6D4E"/>
    <w:rsid w:val="00214E09"/>
    <w:rsid w:val="0022253C"/>
    <w:rsid w:val="0026764E"/>
    <w:rsid w:val="00267ACC"/>
    <w:rsid w:val="00294B84"/>
    <w:rsid w:val="002D11FC"/>
    <w:rsid w:val="002F6AC5"/>
    <w:rsid w:val="0030253B"/>
    <w:rsid w:val="003128DF"/>
    <w:rsid w:val="00327922"/>
    <w:rsid w:val="00341A80"/>
    <w:rsid w:val="00354CE6"/>
    <w:rsid w:val="00364057"/>
    <w:rsid w:val="003649CB"/>
    <w:rsid w:val="003702FA"/>
    <w:rsid w:val="003709E9"/>
    <w:rsid w:val="00375EE7"/>
    <w:rsid w:val="003767D1"/>
    <w:rsid w:val="00382451"/>
    <w:rsid w:val="003A16C6"/>
    <w:rsid w:val="003E23D7"/>
    <w:rsid w:val="003E613E"/>
    <w:rsid w:val="00416406"/>
    <w:rsid w:val="00417637"/>
    <w:rsid w:val="00420E7F"/>
    <w:rsid w:val="0042207F"/>
    <w:rsid w:val="00424485"/>
    <w:rsid w:val="00447B58"/>
    <w:rsid w:val="004543A6"/>
    <w:rsid w:val="00455AD5"/>
    <w:rsid w:val="00491D48"/>
    <w:rsid w:val="004941CD"/>
    <w:rsid w:val="004B2463"/>
    <w:rsid w:val="004B2809"/>
    <w:rsid w:val="004B7824"/>
    <w:rsid w:val="004D1D1E"/>
    <w:rsid w:val="004F1DF8"/>
    <w:rsid w:val="004F3880"/>
    <w:rsid w:val="005103F6"/>
    <w:rsid w:val="00514948"/>
    <w:rsid w:val="00546FE6"/>
    <w:rsid w:val="00552AEB"/>
    <w:rsid w:val="005542D0"/>
    <w:rsid w:val="005A2B05"/>
    <w:rsid w:val="005A3AB1"/>
    <w:rsid w:val="005D76AE"/>
    <w:rsid w:val="005F474C"/>
    <w:rsid w:val="00631DA0"/>
    <w:rsid w:val="0064756A"/>
    <w:rsid w:val="006627B5"/>
    <w:rsid w:val="0066531D"/>
    <w:rsid w:val="00682EC4"/>
    <w:rsid w:val="0068605A"/>
    <w:rsid w:val="00693E34"/>
    <w:rsid w:val="006A0121"/>
    <w:rsid w:val="006A3A2F"/>
    <w:rsid w:val="006C30F6"/>
    <w:rsid w:val="006D05B0"/>
    <w:rsid w:val="006D63DD"/>
    <w:rsid w:val="00722DC1"/>
    <w:rsid w:val="00722E8D"/>
    <w:rsid w:val="00724AF8"/>
    <w:rsid w:val="007264A8"/>
    <w:rsid w:val="007400BC"/>
    <w:rsid w:val="0079510C"/>
    <w:rsid w:val="007A64F5"/>
    <w:rsid w:val="007A75D0"/>
    <w:rsid w:val="007D3C4B"/>
    <w:rsid w:val="007E1B34"/>
    <w:rsid w:val="007F1AF1"/>
    <w:rsid w:val="00803157"/>
    <w:rsid w:val="00812F89"/>
    <w:rsid w:val="00813489"/>
    <w:rsid w:val="00815E7E"/>
    <w:rsid w:val="00831027"/>
    <w:rsid w:val="00863AA6"/>
    <w:rsid w:val="00881D9E"/>
    <w:rsid w:val="00884C60"/>
    <w:rsid w:val="008915B3"/>
    <w:rsid w:val="008A0A3E"/>
    <w:rsid w:val="008A4089"/>
    <w:rsid w:val="008C207B"/>
    <w:rsid w:val="008E05FB"/>
    <w:rsid w:val="008E5D79"/>
    <w:rsid w:val="008F3673"/>
    <w:rsid w:val="0090243A"/>
    <w:rsid w:val="00927A53"/>
    <w:rsid w:val="00935844"/>
    <w:rsid w:val="009504F7"/>
    <w:rsid w:val="00955374"/>
    <w:rsid w:val="009979F7"/>
    <w:rsid w:val="009A4444"/>
    <w:rsid w:val="009A562F"/>
    <w:rsid w:val="009C5D77"/>
    <w:rsid w:val="009E0F7C"/>
    <w:rsid w:val="009F15FF"/>
    <w:rsid w:val="00A13E27"/>
    <w:rsid w:val="00A229F0"/>
    <w:rsid w:val="00A37997"/>
    <w:rsid w:val="00A50A65"/>
    <w:rsid w:val="00A5687F"/>
    <w:rsid w:val="00A63BF6"/>
    <w:rsid w:val="00A8513B"/>
    <w:rsid w:val="00A92C6B"/>
    <w:rsid w:val="00AB2791"/>
    <w:rsid w:val="00AB660A"/>
    <w:rsid w:val="00AC5002"/>
    <w:rsid w:val="00AD0E24"/>
    <w:rsid w:val="00AD3C68"/>
    <w:rsid w:val="00B12F1A"/>
    <w:rsid w:val="00B14552"/>
    <w:rsid w:val="00B25CD7"/>
    <w:rsid w:val="00B327B9"/>
    <w:rsid w:val="00B3718B"/>
    <w:rsid w:val="00B371F1"/>
    <w:rsid w:val="00B41944"/>
    <w:rsid w:val="00B43CBB"/>
    <w:rsid w:val="00B62288"/>
    <w:rsid w:val="00B67F98"/>
    <w:rsid w:val="00B85B4A"/>
    <w:rsid w:val="00B9374B"/>
    <w:rsid w:val="00BB3681"/>
    <w:rsid w:val="00BB64B3"/>
    <w:rsid w:val="00BD097C"/>
    <w:rsid w:val="00BD2A17"/>
    <w:rsid w:val="00BD4053"/>
    <w:rsid w:val="00BD6442"/>
    <w:rsid w:val="00BE1968"/>
    <w:rsid w:val="00BE2993"/>
    <w:rsid w:val="00C11061"/>
    <w:rsid w:val="00C110F2"/>
    <w:rsid w:val="00C23010"/>
    <w:rsid w:val="00C3025A"/>
    <w:rsid w:val="00C33929"/>
    <w:rsid w:val="00C36758"/>
    <w:rsid w:val="00C42C22"/>
    <w:rsid w:val="00C7503F"/>
    <w:rsid w:val="00C864DE"/>
    <w:rsid w:val="00C878E1"/>
    <w:rsid w:val="00CC442E"/>
    <w:rsid w:val="00CE38BA"/>
    <w:rsid w:val="00D046D5"/>
    <w:rsid w:val="00D10906"/>
    <w:rsid w:val="00D14937"/>
    <w:rsid w:val="00D20913"/>
    <w:rsid w:val="00D36391"/>
    <w:rsid w:val="00D435BD"/>
    <w:rsid w:val="00D540E7"/>
    <w:rsid w:val="00D665B8"/>
    <w:rsid w:val="00D66869"/>
    <w:rsid w:val="00D97DE2"/>
    <w:rsid w:val="00DA27DB"/>
    <w:rsid w:val="00DA7E20"/>
    <w:rsid w:val="00E02CF8"/>
    <w:rsid w:val="00E10C42"/>
    <w:rsid w:val="00E11B63"/>
    <w:rsid w:val="00E3067A"/>
    <w:rsid w:val="00E41051"/>
    <w:rsid w:val="00E53DFB"/>
    <w:rsid w:val="00E54905"/>
    <w:rsid w:val="00E56B6D"/>
    <w:rsid w:val="00E6793D"/>
    <w:rsid w:val="00E92292"/>
    <w:rsid w:val="00EE7111"/>
    <w:rsid w:val="00F0174D"/>
    <w:rsid w:val="00F046DC"/>
    <w:rsid w:val="00F1261D"/>
    <w:rsid w:val="00F13FDD"/>
    <w:rsid w:val="00F17F85"/>
    <w:rsid w:val="00F62491"/>
    <w:rsid w:val="00F64117"/>
    <w:rsid w:val="00FA7FF9"/>
    <w:rsid w:val="00FB6946"/>
    <w:rsid w:val="00FD2735"/>
    <w:rsid w:val="00FF5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534B"/>
  <w15:chartTrackingRefBased/>
  <w15:docId w15:val="{EF044977-703F-4330-B6DB-5DCF2566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Besedilooblaka">
    <w:name w:val="Balloon Text"/>
    <w:basedOn w:val="Navaden"/>
    <w:link w:val="BesedilooblakaZnak"/>
    <w:uiPriority w:val="99"/>
    <w:semiHidden/>
    <w:unhideWhenUsed/>
    <w:rsid w:val="006D05B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05B0"/>
    <w:rPr>
      <w:rFonts w:ascii="Segoe UI" w:eastAsia="Times New Roman" w:hAnsi="Segoe UI" w:cs="Segoe UI"/>
      <w:sz w:val="18"/>
      <w:szCs w:val="18"/>
    </w:rPr>
  </w:style>
  <w:style w:type="paragraph" w:styleId="Navadensplet">
    <w:name w:val="Normal (Web)"/>
    <w:basedOn w:val="Navaden"/>
    <w:uiPriority w:val="99"/>
    <w:semiHidden/>
    <w:unhideWhenUsed/>
    <w:rsid w:val="00267ACC"/>
    <w:pPr>
      <w:spacing w:before="100" w:beforeAutospacing="1" w:after="100" w:afterAutospacing="1" w:line="240" w:lineRule="auto"/>
    </w:pPr>
    <w:rPr>
      <w:rFonts w:ascii="Times New Roman" w:hAnsi="Times New Roman"/>
      <w:sz w:val="24"/>
      <w:lang w:eastAsia="sl-SI"/>
    </w:rPr>
  </w:style>
  <w:style w:type="character" w:styleId="Hiperpovezava">
    <w:name w:val="Hyperlink"/>
    <w:basedOn w:val="Privzetapisavaodstavka"/>
    <w:unhideWhenUsed/>
    <w:rsid w:val="00267ACC"/>
    <w:rPr>
      <w:color w:val="0000FF"/>
      <w:u w:val="single"/>
    </w:rPr>
  </w:style>
  <w:style w:type="character" w:styleId="Pripombasklic">
    <w:name w:val="annotation reference"/>
    <w:basedOn w:val="Privzetapisavaodstavka"/>
    <w:uiPriority w:val="99"/>
    <w:semiHidden/>
    <w:unhideWhenUsed/>
    <w:rsid w:val="0030253B"/>
    <w:rPr>
      <w:sz w:val="16"/>
      <w:szCs w:val="16"/>
    </w:rPr>
  </w:style>
  <w:style w:type="paragraph" w:styleId="Pripombabesedilo">
    <w:name w:val="annotation text"/>
    <w:basedOn w:val="Navaden"/>
    <w:link w:val="PripombabesediloZnak"/>
    <w:uiPriority w:val="99"/>
    <w:unhideWhenUsed/>
    <w:rsid w:val="0030253B"/>
    <w:pPr>
      <w:spacing w:line="240" w:lineRule="auto"/>
    </w:pPr>
    <w:rPr>
      <w:szCs w:val="20"/>
    </w:rPr>
  </w:style>
  <w:style w:type="character" w:customStyle="1" w:styleId="PripombabesediloZnak">
    <w:name w:val="Pripomba – besedilo Znak"/>
    <w:basedOn w:val="Privzetapisavaodstavka"/>
    <w:link w:val="Pripombabesedilo"/>
    <w:uiPriority w:val="99"/>
    <w:rsid w:val="0030253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30253B"/>
    <w:rPr>
      <w:b/>
      <w:bCs/>
    </w:rPr>
  </w:style>
  <w:style w:type="character" w:customStyle="1" w:styleId="ZadevapripombeZnak">
    <w:name w:val="Zadeva pripombe Znak"/>
    <w:basedOn w:val="PripombabesediloZnak"/>
    <w:link w:val="Zadevapripombe"/>
    <w:uiPriority w:val="99"/>
    <w:semiHidden/>
    <w:rsid w:val="0030253B"/>
    <w:rPr>
      <w:rFonts w:ascii="Arial" w:eastAsia="Times New Roman" w:hAnsi="Arial" w:cs="Times New Roman"/>
      <w:b/>
      <w:bCs/>
      <w:sz w:val="20"/>
      <w:szCs w:val="20"/>
    </w:rPr>
  </w:style>
  <w:style w:type="paragraph" w:styleId="Odstavekseznama">
    <w:name w:val="List Paragraph"/>
    <w:basedOn w:val="Navaden"/>
    <w:uiPriority w:val="34"/>
    <w:qFormat/>
    <w:rsid w:val="0030253B"/>
    <w:pPr>
      <w:ind w:left="720"/>
      <w:contextualSpacing/>
    </w:pPr>
  </w:style>
  <w:style w:type="paragraph" w:styleId="Sprotnaopomba-besedilo">
    <w:name w:val="footnote text"/>
    <w:basedOn w:val="Navaden"/>
    <w:link w:val="Sprotnaopomba-besediloZnak"/>
    <w:uiPriority w:val="99"/>
    <w:semiHidden/>
    <w:unhideWhenUsed/>
    <w:rsid w:val="00AD3C68"/>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AD3C68"/>
    <w:rPr>
      <w:rFonts w:ascii="Arial" w:eastAsia="Times New Roman" w:hAnsi="Arial" w:cs="Times New Roman"/>
      <w:sz w:val="20"/>
      <w:szCs w:val="20"/>
    </w:rPr>
  </w:style>
  <w:style w:type="character" w:styleId="Sprotnaopomba-sklic">
    <w:name w:val="footnote reference"/>
    <w:aliases w:val="Footnote symbol,Footnote,Fussnota, Znak,Footnote reference number,note TESI,SUPERS,EN Footnote Reference,Znak"/>
    <w:basedOn w:val="Privzetapisavaodstavka"/>
    <w:uiPriority w:val="99"/>
    <w:unhideWhenUsed/>
    <w:rsid w:val="00AD3C68"/>
    <w:rPr>
      <w:vertAlign w:val="superscript"/>
    </w:rPr>
  </w:style>
  <w:style w:type="character" w:styleId="SledenaHiperpovezava">
    <w:name w:val="FollowedHyperlink"/>
    <w:basedOn w:val="Privzetapisavaodstavka"/>
    <w:uiPriority w:val="99"/>
    <w:semiHidden/>
    <w:unhideWhenUsed/>
    <w:rsid w:val="004B7824"/>
    <w:rPr>
      <w:color w:val="954F72" w:themeColor="followedHyperlink"/>
      <w:u w:val="single"/>
    </w:rPr>
  </w:style>
  <w:style w:type="paragraph" w:styleId="Revizija">
    <w:name w:val="Revision"/>
    <w:hidden/>
    <w:uiPriority w:val="99"/>
    <w:semiHidden/>
    <w:rsid w:val="00A5687F"/>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69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barvnamrea6poudarek3">
    <w:name w:val="Grid Table 6 Colorful Accent 3"/>
    <w:basedOn w:val="Navadnatabela"/>
    <w:uiPriority w:val="51"/>
    <w:rsid w:val="00693E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erazreenaomemba">
    <w:name w:val="Unresolved Mention"/>
    <w:basedOn w:val="Privzetapisavaodstavka"/>
    <w:uiPriority w:val="99"/>
    <w:semiHidden/>
    <w:unhideWhenUsed/>
    <w:rsid w:val="001A1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6738">
      <w:bodyDiv w:val="1"/>
      <w:marLeft w:val="0"/>
      <w:marRight w:val="0"/>
      <w:marTop w:val="0"/>
      <w:marBottom w:val="0"/>
      <w:divBdr>
        <w:top w:val="none" w:sz="0" w:space="0" w:color="auto"/>
        <w:left w:val="none" w:sz="0" w:space="0" w:color="auto"/>
        <w:bottom w:val="none" w:sz="0" w:space="0" w:color="auto"/>
        <w:right w:val="none" w:sz="0" w:space="0" w:color="auto"/>
      </w:divBdr>
      <w:divsChild>
        <w:div w:id="1164247885">
          <w:marLeft w:val="0"/>
          <w:marRight w:val="0"/>
          <w:marTop w:val="0"/>
          <w:marBottom w:val="0"/>
          <w:divBdr>
            <w:top w:val="none" w:sz="0" w:space="0" w:color="auto"/>
            <w:left w:val="none" w:sz="0" w:space="0" w:color="auto"/>
            <w:bottom w:val="none" w:sz="0" w:space="0" w:color="auto"/>
            <w:right w:val="none" w:sz="0" w:space="0" w:color="auto"/>
          </w:divBdr>
        </w:div>
      </w:divsChild>
    </w:div>
    <w:div w:id="687217703">
      <w:bodyDiv w:val="1"/>
      <w:marLeft w:val="0"/>
      <w:marRight w:val="0"/>
      <w:marTop w:val="0"/>
      <w:marBottom w:val="0"/>
      <w:divBdr>
        <w:top w:val="none" w:sz="0" w:space="0" w:color="auto"/>
        <w:left w:val="none" w:sz="0" w:space="0" w:color="auto"/>
        <w:bottom w:val="none" w:sz="0" w:space="0" w:color="auto"/>
        <w:right w:val="none" w:sz="0" w:space="0" w:color="auto"/>
      </w:divBdr>
      <w:divsChild>
        <w:div w:id="110141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637772-7BDE-4FF9-AB28-D79C6790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1405</Words>
  <Characters>8009</Characters>
  <Application>Microsoft Office Word</Application>
  <DocSecurity>4</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Konda</dc:creator>
  <cp:keywords/>
  <dc:description/>
  <cp:lastModifiedBy>Staša Zabukošek</cp:lastModifiedBy>
  <cp:revision>2</cp:revision>
  <cp:lastPrinted>2022-04-20T12:17:00Z</cp:lastPrinted>
  <dcterms:created xsi:type="dcterms:W3CDTF">2025-11-26T14:00:00Z</dcterms:created>
  <dcterms:modified xsi:type="dcterms:W3CDTF">2025-11-26T14:00:00Z</dcterms:modified>
</cp:coreProperties>
</file>